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9"/>
      </w:pPr>
      <w:r>
        <w:rPr/>
        <w:t>The APA is offering a number of “emerging measures” for further research and</w:t>
      </w:r>
      <w:r>
        <w:rPr>
          <w:spacing w:val="1"/>
        </w:rPr>
        <w:t> </w:t>
      </w:r>
      <w:r>
        <w:rPr/>
        <w:t>clinical evaluation. These patient assessment measures were developed to be</w:t>
      </w:r>
      <w:r>
        <w:rPr>
          <w:spacing w:val="1"/>
        </w:rPr>
        <w:t> </w:t>
      </w:r>
      <w:r>
        <w:rPr/>
        <w:t>administered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patient</w:t>
      </w:r>
      <w:r>
        <w:rPr>
          <w:spacing w:val="-5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monitor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progress.</w:t>
      </w:r>
      <w:r>
        <w:rPr>
          <w:spacing w:val="-60"/>
        </w:rPr>
        <w:t> </w:t>
      </w:r>
      <w:r>
        <w:rPr/>
        <w:t>They should be used in research and evaluation as potentially useful tools to</w:t>
      </w:r>
      <w:r>
        <w:rPr>
          <w:spacing w:val="1"/>
        </w:rPr>
        <w:t> </w:t>
      </w:r>
      <w:r>
        <w:rPr/>
        <w:t>enhance clinical decision-making and not as the sole basis for making a clinical</w:t>
      </w:r>
      <w:r>
        <w:rPr>
          <w:spacing w:val="1"/>
        </w:rPr>
        <w:t> </w:t>
      </w:r>
      <w:r>
        <w:rPr/>
        <w:t>diagnosis. Instructions, scoring information, and interpretation guidelines are</w:t>
      </w:r>
      <w:r>
        <w:rPr>
          <w:spacing w:val="1"/>
        </w:rPr>
        <w:t> </w:t>
      </w:r>
      <w:r>
        <w:rPr/>
        <w:t>provided; further background information can be found in DSM-5. The APA</w:t>
      </w:r>
      <w:r>
        <w:rPr>
          <w:spacing w:val="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clinicians</w:t>
      </w:r>
      <w:r>
        <w:rPr>
          <w:spacing w:val="-2"/>
        </w:rPr>
        <w:t> </w:t>
      </w:r>
      <w:r>
        <w:rPr/>
        <w:t>and researchers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spacing w:line="276" w:lineRule="auto" w:before="0"/>
        <w:ind w:left="700" w:right="681" w:firstLine="0"/>
        <w:jc w:val="left"/>
        <w:rPr>
          <w:b/>
          <w:sz w:val="28"/>
        </w:rPr>
      </w:pPr>
      <w:r>
        <w:rPr>
          <w:b/>
          <w:sz w:val="28"/>
        </w:rPr>
        <w:t>instruments’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usefulness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characterizing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improving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> </w:t>
      </w:r>
      <w:hyperlink r:id="rId5">
        <w:r>
          <w:rPr>
            <w:b/>
            <w:color w:val="0000FF"/>
            <w:sz w:val="28"/>
            <w:u w:val="single" w:color="0000FF"/>
          </w:rPr>
          <w:t>http://www.dsm5.org/Pages/Feedback-Form.aspx</w:t>
        </w:r>
      </w:hyperlink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44"/>
        <w:ind w:left="700" w:right="1420" w:firstLine="0"/>
        <w:jc w:val="left"/>
        <w:rPr>
          <w:sz w:val="28"/>
        </w:rPr>
      </w:pPr>
      <w:r>
        <w:rPr>
          <w:b/>
          <w:sz w:val="28"/>
        </w:rPr>
        <w:t>Measure: </w:t>
      </w:r>
      <w:r>
        <w:rPr>
          <w:sz w:val="28"/>
        </w:rPr>
        <w:t>LEVEL 2—Substance Use—Adult (adapted from the NIDA-Modified</w:t>
      </w:r>
      <w:r>
        <w:rPr>
          <w:spacing w:val="-61"/>
          <w:sz w:val="28"/>
        </w:rPr>
        <w:t> </w:t>
      </w:r>
      <w:r>
        <w:rPr>
          <w:sz w:val="28"/>
        </w:rPr>
        <w:t>ASSIST)</w:t>
      </w:r>
    </w:p>
    <w:p>
      <w:pPr>
        <w:spacing w:before="1"/>
        <w:ind w:left="700" w:right="681" w:firstLine="0"/>
        <w:jc w:val="left"/>
        <w:rPr>
          <w:sz w:val="28"/>
        </w:rPr>
      </w:pPr>
      <w:r>
        <w:rPr>
          <w:b/>
          <w:sz w:val="28"/>
        </w:rPr>
        <w:t>Rights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granted:</w:t>
      </w:r>
      <w:r>
        <w:rPr>
          <w:b/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Instrument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reproduced</w:t>
      </w:r>
      <w:r>
        <w:rPr>
          <w:spacing w:val="-5"/>
          <w:sz w:val="28"/>
        </w:rPr>
        <w:t> </w:t>
      </w:r>
      <w:r>
        <w:rPr>
          <w:sz w:val="28"/>
        </w:rPr>
        <w:t>without</w:t>
      </w:r>
      <w:r>
        <w:rPr>
          <w:spacing w:val="-5"/>
          <w:sz w:val="28"/>
        </w:rPr>
        <w:t> </w:t>
      </w:r>
      <w:r>
        <w:rPr>
          <w:sz w:val="28"/>
        </w:rPr>
        <w:t>permission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60"/>
          <w:sz w:val="28"/>
        </w:rPr>
        <w:t> </w:t>
      </w:r>
      <w:r>
        <w:rPr>
          <w:sz w:val="28"/>
        </w:rPr>
        <w:t>clinicians</w:t>
      </w:r>
      <w:r>
        <w:rPr>
          <w:spacing w:val="-1"/>
          <w:sz w:val="28"/>
        </w:rPr>
        <w:t> </w:t>
      </w:r>
      <w:r>
        <w:rPr>
          <w:sz w:val="28"/>
        </w:rPr>
        <w:t>for use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own</w:t>
      </w:r>
      <w:r>
        <w:rPr>
          <w:spacing w:val="-3"/>
          <w:sz w:val="28"/>
        </w:rPr>
        <w:t> </w:t>
      </w:r>
      <w:r>
        <w:rPr>
          <w:sz w:val="28"/>
        </w:rPr>
        <w:t>patients.</w:t>
      </w:r>
    </w:p>
    <w:p>
      <w:pPr>
        <w:spacing w:line="341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Rights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holder:</w:t>
      </w:r>
      <w:r>
        <w:rPr>
          <w:b/>
          <w:spacing w:val="-4"/>
          <w:sz w:val="28"/>
        </w:rPr>
        <w:t> </w:t>
      </w:r>
      <w:r>
        <w:rPr>
          <w:sz w:val="28"/>
        </w:rPr>
        <w:t>National</w:t>
      </w:r>
      <w:r>
        <w:rPr>
          <w:spacing w:val="-3"/>
          <w:sz w:val="28"/>
        </w:rPr>
        <w:t> </w:t>
      </w:r>
      <w:r>
        <w:rPr>
          <w:sz w:val="28"/>
        </w:rPr>
        <w:t>Institute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Drug</w:t>
      </w:r>
      <w:r>
        <w:rPr>
          <w:spacing w:val="-4"/>
          <w:sz w:val="28"/>
        </w:rPr>
        <w:t> </w:t>
      </w:r>
      <w:r>
        <w:rPr>
          <w:sz w:val="28"/>
        </w:rPr>
        <w:t>Abuse</w:t>
      </w:r>
      <w:r>
        <w:rPr>
          <w:spacing w:val="-1"/>
          <w:sz w:val="28"/>
        </w:rPr>
        <w:t> </w:t>
      </w:r>
      <w:r>
        <w:rPr>
          <w:sz w:val="28"/>
        </w:rPr>
        <w:t>(NIDA)</w:t>
      </w:r>
    </w:p>
    <w:p>
      <w:pPr>
        <w:spacing w:before="0"/>
        <w:ind w:left="700" w:right="1595" w:firstLine="0"/>
        <w:jc w:val="left"/>
        <w:rPr>
          <w:sz w:val="28"/>
        </w:rPr>
      </w:pPr>
      <w:r>
        <w:rPr>
          <w:b/>
          <w:sz w:val="28"/>
        </w:rPr>
        <w:t>To request permission for any other use beyond what is stipulated above,</w:t>
      </w:r>
      <w:r>
        <w:rPr>
          <w:b/>
          <w:spacing w:val="-62"/>
          <w:sz w:val="28"/>
        </w:rPr>
        <w:t> </w:t>
      </w:r>
      <w:r>
        <w:rPr>
          <w:b/>
          <w:sz w:val="28"/>
        </w:rPr>
        <w:t>contact:</w:t>
      </w:r>
      <w:r>
        <w:rPr>
          <w:b/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-2"/>
          <w:sz w:val="28"/>
        </w:rPr>
        <w:t> </w:t>
      </w:r>
      <w:r>
        <w:rPr>
          <w:sz w:val="28"/>
        </w:rPr>
        <w:t>Institute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Drug</w:t>
      </w:r>
      <w:r>
        <w:rPr>
          <w:spacing w:val="-2"/>
          <w:sz w:val="28"/>
        </w:rPr>
        <w:t> </w:t>
      </w:r>
      <w:r>
        <w:rPr>
          <w:sz w:val="28"/>
        </w:rPr>
        <w:t>Abuse</w:t>
      </w:r>
      <w:r>
        <w:rPr>
          <w:spacing w:val="2"/>
          <w:sz w:val="28"/>
        </w:rPr>
        <w:t> </w:t>
      </w:r>
      <w:r>
        <w:rPr>
          <w:sz w:val="28"/>
        </w:rPr>
        <w:t>(NIDA)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420" w:bottom="280" w:left="740" w:right="620"/>
        </w:sectPr>
      </w:pPr>
    </w:p>
    <w:p>
      <w:pPr>
        <w:pStyle w:val="Heading1"/>
        <w:spacing w:line="341" w:lineRule="exact" w:before="71"/>
        <w:ind w:left="3202" w:right="3604"/>
        <w:jc w:val="center"/>
      </w:pPr>
      <w:r>
        <w:rPr/>
        <w:t>LEVEL</w:t>
      </w:r>
      <w:r>
        <w:rPr>
          <w:spacing w:val="-3"/>
        </w:rPr>
        <w:t> </w:t>
      </w:r>
      <w:r>
        <w:rPr/>
        <w:t>2—Substance</w:t>
      </w:r>
      <w:r>
        <w:rPr>
          <w:spacing w:val="-2"/>
        </w:rPr>
        <w:t> </w:t>
      </w:r>
      <w:r>
        <w:rPr/>
        <w:t>Use—Adult</w:t>
      </w:r>
      <w:r>
        <w:rPr>
          <w:vertAlign w:val="superscript"/>
        </w:rPr>
        <w:t>*</w:t>
      </w:r>
    </w:p>
    <w:p>
      <w:pPr>
        <w:spacing w:line="292" w:lineRule="exact" w:before="0"/>
        <w:ind w:left="3202" w:right="3606" w:firstLine="0"/>
        <w:jc w:val="center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Adapted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NIDA-Modified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ASSIST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080" w:bottom="280" w:left="740" w:right="620"/>
        </w:sectPr>
      </w:pPr>
    </w:p>
    <w:p>
      <w:pPr>
        <w:tabs>
          <w:tab w:pos="3546" w:val="left" w:leader="none"/>
        </w:tabs>
        <w:spacing w:before="108"/>
        <w:ind w:left="124" w:right="0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977" w:val="left" w:leader="none"/>
        </w:tabs>
        <w:spacing w:before="108"/>
        <w:ind w:left="12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Age: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2836" w:val="left" w:leader="none"/>
          <w:tab w:pos="4818" w:val="left" w:leader="none"/>
        </w:tabs>
        <w:spacing w:before="101"/>
        <w:ind w:left="12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Sex:</w:t>
      </w:r>
      <w:r>
        <w:rPr>
          <w:b/>
          <w:spacing w:val="44"/>
          <w:sz w:val="20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0"/>
        </w:rPr>
        <w:t>Male</w:t>
      </w:r>
      <w:r>
        <w:rPr>
          <w:b/>
          <w:spacing w:val="45"/>
          <w:sz w:val="20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0"/>
        </w:rPr>
        <w:t>Female</w:t>
        <w:tab/>
        <w:t>Date:</w:t>
      </w:r>
      <w:r>
        <w:rPr>
          <w:b/>
          <w:sz w:val="20"/>
          <w:u w:val="single"/>
        </w:rPr>
        <w:t> </w:t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740" w:right="620"/>
          <w:cols w:num="3" w:equalWidth="0">
            <w:col w:w="3587" w:space="734"/>
            <w:col w:w="1019" w:space="422"/>
            <w:col w:w="5118"/>
          </w:cols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tabs>
          <w:tab w:pos="10609" w:val="left" w:leader="none"/>
        </w:tabs>
        <w:spacing w:before="59"/>
        <w:ind w:left="124" w:right="0" w:firstLine="0"/>
        <w:jc w:val="left"/>
        <w:rPr>
          <w:sz w:val="20"/>
        </w:rPr>
      </w:pPr>
      <w:r>
        <w:rPr>
          <w:i/>
          <w:sz w:val="20"/>
        </w:rPr>
        <w:t>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measure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being completed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informant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relationship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receiving</w:t>
      </w:r>
      <w:r>
        <w:rPr>
          <w:spacing w:val="-3"/>
          <w:sz w:val="20"/>
        </w:rPr>
        <w:t> </w:t>
      </w:r>
      <w:r>
        <w:rPr>
          <w:sz w:val="20"/>
        </w:rPr>
        <w:t>care?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4"/>
        </w:rPr>
      </w:pPr>
    </w:p>
    <w:p>
      <w:pPr>
        <w:tabs>
          <w:tab w:pos="9706" w:val="left" w:leader="none"/>
        </w:tabs>
        <w:spacing w:before="59"/>
        <w:ind w:left="124" w:right="0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typical</w:t>
      </w:r>
      <w:r>
        <w:rPr>
          <w:spacing w:val="-2"/>
          <w:sz w:val="20"/>
        </w:rPr>
        <w:t> </w:t>
      </w:r>
      <w:r>
        <w:rPr>
          <w:sz w:val="20"/>
        </w:rPr>
        <w:t>week,</w:t>
      </w:r>
      <w:r>
        <w:rPr>
          <w:spacing w:val="-2"/>
          <w:sz w:val="20"/>
        </w:rPr>
        <w:t> </w:t>
      </w:r>
      <w:r>
        <w:rPr>
          <w:sz w:val="20"/>
        </w:rPr>
        <w:t>approximately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much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spend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receiving</w:t>
      </w:r>
      <w:r>
        <w:rPr>
          <w:spacing w:val="-3"/>
          <w:sz w:val="20"/>
        </w:rPr>
        <w:t> </w:t>
      </w:r>
      <w:r>
        <w:rPr>
          <w:sz w:val="20"/>
        </w:rPr>
        <w:t>care?</w:t>
      </w:r>
      <w:r>
        <w:rPr>
          <w:sz w:val="20"/>
          <w:u w:val="single"/>
        </w:rPr>
        <w:tab/>
      </w:r>
      <w:r>
        <w:rPr>
          <w:sz w:val="20"/>
        </w:rPr>
        <w:t>hours/week</w:t>
      </w:r>
    </w:p>
    <w:p>
      <w:pPr>
        <w:pStyle w:val="BodyText"/>
        <w:rPr>
          <w:sz w:val="20"/>
        </w:rPr>
      </w:pPr>
    </w:p>
    <w:p>
      <w:pPr>
        <w:pStyle w:val="BodyText"/>
        <w:spacing w:before="143"/>
        <w:ind w:left="124" w:right="562"/>
        <w:jc w:val="both"/>
      </w:pPr>
      <w:r>
        <w:rPr>
          <w:b/>
          <w:u w:val="single"/>
        </w:rPr>
        <w:t>Instructions:</w:t>
      </w:r>
      <w:r>
        <w:rPr>
          <w:b/>
        </w:rPr>
        <w:t> </w:t>
      </w:r>
      <w:r>
        <w:rPr/>
        <w:t>On the DSM-5 Level 1 cross-cutting questionnaire that you just completed, you indicated that </w:t>
      </w:r>
      <w:r>
        <w:rPr>
          <w:i/>
        </w:rPr>
        <w:t>during</w:t>
      </w:r>
      <w:r>
        <w:rPr>
          <w:i/>
          <w:spacing w:val="-47"/>
        </w:rPr>
        <w:t> </w:t>
      </w:r>
      <w:r>
        <w:rPr>
          <w:i/>
        </w:rPr>
        <w:t>the past 2 weeks </w:t>
      </w:r>
      <w:r>
        <w:rPr/>
        <w:t>you (the individual receiving care) have been bothered by “using medicines on your own without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doctor’s</w:t>
      </w:r>
      <w:r>
        <w:rPr>
          <w:spacing w:val="-4"/>
        </w:rPr>
        <w:t> </w:t>
      </w:r>
      <w:r>
        <w:rPr/>
        <w:t>prescription,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amounts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prescribed,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marijuana,</w:t>
      </w:r>
    </w:p>
    <w:p>
      <w:pPr>
        <w:spacing w:before="1"/>
        <w:ind w:left="124" w:right="519" w:firstLine="0"/>
        <w:jc w:val="left"/>
        <w:rPr>
          <w:b/>
          <w:sz w:val="22"/>
        </w:rPr>
      </w:pPr>
      <w:r>
        <w:rPr>
          <w:sz w:val="22"/>
        </w:rPr>
        <w:t>cocaine or crack, and/or other drugs” at a slight or greater level of severity. The questions below ask how often</w:t>
      </w:r>
      <w:r>
        <w:rPr>
          <w:spacing w:val="1"/>
          <w:sz w:val="22"/>
        </w:rPr>
        <w:t> </w:t>
      </w:r>
      <w:r>
        <w:rPr>
          <w:sz w:val="22"/>
        </w:rPr>
        <w:t>you (the individual receiving care) have used these medicines and/or substances </w:t>
      </w:r>
      <w:r>
        <w:rPr>
          <w:b/>
          <w:sz w:val="22"/>
          <w:u w:val="single"/>
        </w:rPr>
        <w:t>during the past 2 weeks.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respond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item 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</w:t>
      </w:r>
      <w:r>
        <w:rPr>
          <w:rFonts w:ascii="Arial" w:hAnsi="Arial" w:eastAsia="Arial"/>
          <w:b/>
          <w:sz w:val="22"/>
        </w:rPr>
        <w:t>🗸</w:t>
      </w:r>
      <w:r>
        <w:rPr>
          <w:rFonts w:ascii="Arial" w:hAnsi="Arial" w:eastAsia="Arial"/>
          <w:b/>
          <w:spacing w:val="-1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 row.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510"/>
        <w:gridCol w:w="901"/>
        <w:gridCol w:w="993"/>
        <w:gridCol w:w="990"/>
        <w:gridCol w:w="1173"/>
        <w:gridCol w:w="1081"/>
        <w:gridCol w:w="1261"/>
      </w:tblGrid>
      <w:tr>
        <w:trPr>
          <w:trHeight w:val="806" w:hRule="atLeast"/>
        </w:trPr>
        <w:tc>
          <w:tcPr>
            <w:tcW w:w="9100" w:type="dxa"/>
            <w:gridSpan w:val="7"/>
            <w:shd w:val="clear" w:color="auto" w:fill="DBE4F0"/>
          </w:tcPr>
          <w:p>
            <w:pPr>
              <w:pStyle w:val="TableParagraph"/>
              <w:spacing w:before="0"/>
              <w:ind w:left="107" w:right="725"/>
              <w:rPr>
                <w:sz w:val="22"/>
              </w:rPr>
            </w:pPr>
            <w:r>
              <w:rPr>
                <w:sz w:val="22"/>
              </w:rPr>
              <w:t>During the past </w:t>
            </w:r>
            <w:r>
              <w:rPr>
                <w:b/>
                <w:sz w:val="22"/>
              </w:rPr>
              <w:t>TWO (2) WEEKS</w:t>
            </w:r>
            <w:r>
              <w:rPr>
                <w:sz w:val="22"/>
              </w:rPr>
              <w:t>, about how often did you use any of the 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medicines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 a doctor’s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prescription,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greater amounts</w:t>
            </w:r>
          </w:p>
          <w:p>
            <w:pPr>
              <w:pStyle w:val="TableParagraph"/>
              <w:spacing w:line="252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prescribed?</w:t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157"/>
              <w:ind w:left="463" w:right="269" w:hanging="1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Clinician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</w:p>
        </w:tc>
      </w:tr>
      <w:tr>
        <w:trPr>
          <w:trHeight w:val="486" w:hRule="atLeast"/>
        </w:trPr>
        <w:tc>
          <w:tcPr>
            <w:tcW w:w="3962" w:type="dxa"/>
            <w:gridSpan w:val="2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before="121"/>
              <w:ind w:left="46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line="243" w:lineRule="exact" w:before="0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</w:p>
          <w:p>
            <w:pPr>
              <w:pStyle w:val="TableParagraph"/>
              <w:spacing w:line="223" w:lineRule="exact"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two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43" w:lineRule="exact" w:before="0"/>
              <w:ind w:left="16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Several</w:t>
            </w:r>
          </w:p>
          <w:p>
            <w:pPr>
              <w:pStyle w:val="TableParagraph"/>
              <w:spacing w:line="223" w:lineRule="exact" w:before="0"/>
              <w:ind w:left="16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173" w:type="dxa"/>
            <w:shd w:val="clear" w:color="auto" w:fill="DBE4F0"/>
          </w:tcPr>
          <w:p>
            <w:pPr>
              <w:pStyle w:val="TableParagraph"/>
              <w:spacing w:line="243" w:lineRule="exact" w:before="0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More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</w:p>
          <w:p>
            <w:pPr>
              <w:pStyle w:val="TableParagraph"/>
              <w:spacing w:line="223" w:lineRule="exact" w:before="0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half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line="243" w:lineRule="exact" w:before="0"/>
              <w:ind w:left="11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Nearly</w:t>
            </w:r>
          </w:p>
          <w:p>
            <w:pPr>
              <w:pStyle w:val="TableParagraph"/>
              <w:spacing w:line="223" w:lineRule="exact" w:before="0"/>
              <w:ind w:left="11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304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Painkillers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Vicodin)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2" w:val="left" w:leader="none"/>
              </w:tabs>
              <w:spacing w:line="240" w:lineRule="auto" w:before="27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53" w:val="left" w:leader="none"/>
              </w:tabs>
              <w:spacing w:line="240" w:lineRule="auto" w:before="27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49" w:val="left" w:leader="none"/>
              </w:tabs>
              <w:spacing w:line="240" w:lineRule="auto" w:before="27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4" w:val="left" w:leader="none"/>
              </w:tabs>
              <w:spacing w:line="240" w:lineRule="auto" w:before="27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4" w:val="left" w:leader="none"/>
              </w:tabs>
              <w:spacing w:line="240" w:lineRule="auto" w:before="27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Stimulants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Ritalin,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Adderall)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32" w:val="left" w:leader="none"/>
              </w:tabs>
              <w:spacing w:line="240" w:lineRule="auto" w:before="27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0" w:lineRule="auto" w:before="27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49" w:val="left" w:leader="none"/>
              </w:tabs>
              <w:spacing w:line="240" w:lineRule="auto" w:before="27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4" w:val="left" w:leader="none"/>
              </w:tabs>
              <w:spacing w:line="240" w:lineRule="auto" w:before="27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24" w:val="left" w:leader="none"/>
              </w:tabs>
              <w:spacing w:line="240" w:lineRule="auto" w:before="27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3510" w:type="dxa"/>
          </w:tcPr>
          <w:p>
            <w:pPr>
              <w:pStyle w:val="TableParagraph"/>
              <w:spacing w:before="30"/>
              <w:ind w:left="105" w:right="193"/>
              <w:rPr>
                <w:sz w:val="20"/>
              </w:rPr>
            </w:pPr>
            <w:r>
              <w:rPr>
                <w:sz w:val="20"/>
              </w:rPr>
              <w:t>Sedatives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tranquilizers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sleeping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Valium)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32" w:val="left" w:leader="none"/>
              </w:tabs>
              <w:spacing w:line="240" w:lineRule="auto" w:before="27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53" w:val="left" w:leader="none"/>
              </w:tabs>
              <w:spacing w:line="240" w:lineRule="auto" w:before="27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49" w:val="left" w:leader="none"/>
              </w:tabs>
              <w:spacing w:line="240" w:lineRule="auto" w:before="27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24" w:val="left" w:leader="none"/>
              </w:tabs>
              <w:spacing w:line="240" w:lineRule="auto" w:before="27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4" w:val="left" w:leader="none"/>
              </w:tabs>
              <w:spacing w:line="240" w:lineRule="auto" w:before="27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0361" w:type="dxa"/>
            <w:gridSpan w:val="8"/>
            <w:shd w:val="clear" w:color="auto" w:fill="DBE4F0"/>
          </w:tcPr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drugs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like:</w:t>
            </w:r>
          </w:p>
        </w:tc>
      </w:tr>
      <w:tr>
        <w:trPr>
          <w:trHeight w:val="385" w:hRule="atLeast"/>
        </w:trPr>
        <w:tc>
          <w:tcPr>
            <w:tcW w:w="452" w:type="dxa"/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Marijuana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spacing w:before="7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3510" w:type="dxa"/>
          </w:tcPr>
          <w:p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Cocaine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crack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32" w:val="left" w:leader="none"/>
              </w:tabs>
              <w:spacing w:line="240" w:lineRule="auto" w:before="73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53" w:val="left" w:leader="none"/>
              </w:tabs>
              <w:spacing w:line="240" w:lineRule="auto" w:before="73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549" w:val="left" w:leader="none"/>
              </w:tabs>
              <w:spacing w:line="240" w:lineRule="auto" w:before="73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24" w:val="left" w:leader="none"/>
              </w:tabs>
              <w:spacing w:line="240" w:lineRule="auto" w:before="73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24" w:val="left" w:leader="none"/>
              </w:tabs>
              <w:spacing w:line="240" w:lineRule="auto" w:before="73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ecstasy)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Hallucinogens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LSD)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Heroin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Inhalants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solvents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glue)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2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35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Methamphetamine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speed)</w:t>
            </w:r>
          </w:p>
        </w:tc>
        <w:tc>
          <w:tcPr>
            <w:tcW w:w="90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532" w:val="left" w:leader="none"/>
              </w:tabs>
              <w:spacing w:line="240" w:lineRule="auto" w:before="71" w:after="0"/>
              <w:ind w:left="531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553" w:val="left" w:leader="none"/>
              </w:tabs>
              <w:spacing w:line="240" w:lineRule="auto" w:before="71" w:after="0"/>
              <w:ind w:left="552" w:right="0" w:hanging="22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49" w:val="left" w:leader="none"/>
              </w:tabs>
              <w:spacing w:line="240" w:lineRule="auto" w:before="71" w:after="0"/>
              <w:ind w:left="548" w:right="0" w:hanging="2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17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24" w:val="left" w:leader="none"/>
              </w:tabs>
              <w:spacing w:line="240" w:lineRule="auto" w:before="71" w:after="0"/>
              <w:ind w:left="640" w:right="419" w:hanging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24" w:val="left" w:leader="none"/>
              </w:tabs>
              <w:spacing w:line="240" w:lineRule="auto" w:before="71" w:after="0"/>
              <w:ind w:left="591" w:right="376" w:hanging="5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9100" w:type="dxa"/>
            <w:gridSpan w:val="7"/>
            <w:shd w:val="clear" w:color="auto" w:fill="DBE4F0"/>
          </w:tcPr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Score:</w:t>
            </w:r>
          </w:p>
        </w:tc>
        <w:tc>
          <w:tcPr>
            <w:tcW w:w="1261" w:type="dxa"/>
            <w:shd w:val="clear" w:color="auto" w:fill="DBE4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3036" w:right="487" w:firstLine="4027"/>
        <w:jc w:val="left"/>
        <w:rPr>
          <w:sz w:val="18"/>
        </w:rPr>
      </w:pPr>
      <w:r>
        <w:rPr>
          <w:sz w:val="18"/>
        </w:rPr>
        <w:t>Courtesy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National</w:t>
      </w:r>
      <w:r>
        <w:rPr>
          <w:spacing w:val="-3"/>
          <w:sz w:val="18"/>
        </w:rPr>
        <w:t> </w:t>
      </w:r>
      <w:r>
        <w:rPr>
          <w:sz w:val="18"/>
        </w:rPr>
        <w:t>Institute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Drug</w:t>
      </w:r>
      <w:r>
        <w:rPr>
          <w:spacing w:val="-2"/>
          <w:sz w:val="18"/>
        </w:rPr>
        <w:t> </w:t>
      </w:r>
      <w:r>
        <w:rPr>
          <w:sz w:val="18"/>
        </w:rPr>
        <w:t>Abuse.</w:t>
      </w:r>
      <w:r>
        <w:rPr>
          <w:spacing w:val="-38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Instrument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reproduced</w:t>
      </w:r>
      <w:r>
        <w:rPr>
          <w:spacing w:val="-3"/>
          <w:sz w:val="18"/>
        </w:rPr>
        <w:t> </w:t>
      </w:r>
      <w:r>
        <w:rPr>
          <w:sz w:val="18"/>
        </w:rPr>
        <w:t>without</w:t>
      </w:r>
      <w:r>
        <w:rPr>
          <w:spacing w:val="-1"/>
          <w:sz w:val="18"/>
        </w:rPr>
        <w:t> </w:t>
      </w:r>
      <w:r>
        <w:rPr>
          <w:sz w:val="18"/>
        </w:rPr>
        <w:t>permission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clinicians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their</w:t>
      </w:r>
      <w:r>
        <w:rPr>
          <w:spacing w:val="-2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patients.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280" w:left="740" w:right="620"/>
        </w:sectPr>
      </w:pPr>
    </w:p>
    <w:p>
      <w:pPr>
        <w:pStyle w:val="Heading2"/>
        <w:spacing w:before="45"/>
      </w:pP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Clinicians</w:t>
      </w:r>
    </w:p>
    <w:p>
      <w:pPr>
        <w:pStyle w:val="BodyText"/>
        <w:ind w:left="267" w:right="467"/>
        <w:rPr>
          <w:b/>
        </w:rPr>
      </w:pPr>
      <w:r>
        <w:rPr/>
        <w:t>The DSM-5 Level 2—Substance Use—Adult is an adapted version of the NIDA-Modified ASSIST. The 15-item</w:t>
      </w:r>
      <w:r>
        <w:rPr>
          <w:spacing w:val="1"/>
        </w:rPr>
        <w:t> </w:t>
      </w:r>
      <w:r>
        <w:rPr/>
        <w:t>measure is used to assess the pure domain of prescription medicine, and illicit substance use in adults age 18 and</w:t>
      </w:r>
      <w:r>
        <w:rPr>
          <w:spacing w:val="-47"/>
        </w:rPr>
        <w:t> </w:t>
      </w:r>
      <w:r>
        <w:rPr/>
        <w:t>older. It is completed by the individual prior to a visit with the clinician. If the individual receiving care is of</w:t>
      </w:r>
      <w:r>
        <w:rPr>
          <w:spacing w:val="1"/>
        </w:rPr>
        <w:t> </w:t>
      </w:r>
      <w:r>
        <w:rPr/>
        <w:t>impaired capacity and unable to complete the form (e.g., an individual with dementia), a knowledgeable</w:t>
      </w:r>
      <w:r>
        <w:rPr>
          <w:spacing w:val="1"/>
        </w:rPr>
        <w:t> </w:t>
      </w:r>
      <w:r>
        <w:rPr/>
        <w:t>informant may complete the measure. Each item asks the individual receiving care (or informant) to rate the</w:t>
      </w:r>
      <w:r>
        <w:rPr>
          <w:spacing w:val="1"/>
        </w:rPr>
        <w:t> </w:t>
      </w:r>
      <w:r>
        <w:rPr/>
        <w:t>severity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individual’s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various substances</w:t>
      </w:r>
      <w:r>
        <w:rPr>
          <w:spacing w:val="3"/>
        </w:rPr>
        <w:t> </w:t>
      </w:r>
      <w:r>
        <w:rPr>
          <w:b/>
          <w:u w:val="single"/>
        </w:rPr>
        <w:t>during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past 2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weeks</w:t>
      </w:r>
      <w:r>
        <w:rPr>
          <w:b/>
        </w:rPr>
        <w:t>.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2"/>
        <w:spacing w:before="57"/>
      </w:pPr>
      <w:r>
        <w:rPr/>
        <w:t>Scoring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Interpretation</w:t>
      </w:r>
    </w:p>
    <w:p>
      <w:pPr>
        <w:pStyle w:val="BodyText"/>
        <w:ind w:left="267" w:right="412"/>
      </w:pPr>
      <w:r>
        <w:rPr/>
        <w:t>Each item on the measure is rated on a 5-point scale (i.e., 0=not at all; 1=1 or 2 days; 2=several days; 3=more than</w:t>
      </w:r>
      <w:r>
        <w:rPr>
          <w:spacing w:val="-47"/>
        </w:rPr>
        <w:t> </w:t>
      </w:r>
      <w:r>
        <w:rPr/>
        <w:t>half the days; 4=nearly every day). The clinician is asked to review the score of each item on the measure during</w:t>
      </w:r>
      <w:r>
        <w:rPr>
          <w:spacing w:val="1"/>
        </w:rPr>
        <w:t> </w:t>
      </w:r>
      <w:r>
        <w:rPr/>
        <w:t>the clinical interview and indicate the raw score for each item in the section provided for “Clinician Use.” Scores</w:t>
      </w:r>
      <w:r>
        <w:rPr>
          <w:spacing w:val="1"/>
        </w:rPr>
        <w:t> </w:t>
      </w:r>
      <w:r>
        <w:rPr/>
        <w:t>on the individual items should be interpreted independently because each item inquires about the use of a</w:t>
      </w:r>
      <w:r>
        <w:rPr>
          <w:spacing w:val="1"/>
        </w:rPr>
        <w:t> </w:t>
      </w:r>
      <w:r>
        <w:rPr/>
        <w:t>distinct substance. The rating of multiple items at scores greater than 0 indicates greater severity and complexity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use.</w:t>
      </w:r>
    </w:p>
    <w:p>
      <w:pPr>
        <w:pStyle w:val="BodyText"/>
      </w:pPr>
    </w:p>
    <w:p>
      <w:pPr>
        <w:pStyle w:val="Heading2"/>
      </w:pPr>
      <w:r>
        <w:rPr/>
        <w:t>Frequency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60"/>
        <w:ind w:left="267" w:right="116"/>
      </w:pPr>
      <w:r>
        <w:rPr/>
        <w:t>To track change in the severity of the individual’s use of alcohol, tobacco/nicotine, prescription or illicit substance</w:t>
      </w:r>
      <w:r>
        <w:rPr>
          <w:spacing w:val="1"/>
        </w:rPr>
        <w:t> </w:t>
      </w:r>
      <w:r>
        <w:rPr/>
        <w:t>over time, the measure be may completed at regular intervals as clinically indicated, depending on the stability of the</w:t>
      </w:r>
      <w:r>
        <w:rPr>
          <w:spacing w:val="-47"/>
        </w:rPr>
        <w:t> </w:t>
      </w:r>
      <w:r>
        <w:rPr/>
        <w:t>individual’s symptoms and treatment status. For individuals of impaired capacity, it is preferred that completion of</w:t>
      </w:r>
      <w:r>
        <w:rPr>
          <w:spacing w:val="1"/>
        </w:rPr>
        <w:t> </w:t>
      </w:r>
      <w:r>
        <w:rPr/>
        <w:t>the measures at follow-up appointments is by the same knowledgeable informant. Consistently high scores on the</w:t>
      </w:r>
      <w:r>
        <w:rPr>
          <w:spacing w:val="1"/>
        </w:rPr>
        <w:t> </w:t>
      </w:r>
      <w:r>
        <w:rPr/>
        <w:t>measure may indicate significant and problematic areas that might warrant further assessment, treatment, and</w:t>
      </w:r>
      <w:r>
        <w:rPr>
          <w:spacing w:val="1"/>
        </w:rPr>
        <w:t> </w:t>
      </w:r>
      <w:r>
        <w:rPr/>
        <w:t>follow-up.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your decision.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64"/>
        <w:ind w:left="3566" w:right="153" w:firstLine="3818"/>
        <w:jc w:val="left"/>
        <w:rPr>
          <w:sz w:val="18"/>
        </w:rPr>
      </w:pPr>
      <w:r>
        <w:rPr>
          <w:sz w:val="18"/>
        </w:rPr>
        <w:t>Courtesy of National Institute on Drug Abuse.</w:t>
      </w:r>
      <w:r>
        <w:rPr>
          <w:spacing w:val="-39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material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reproduced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2"/>
          <w:sz w:val="18"/>
        </w:rPr>
        <w:t> </w:t>
      </w:r>
      <w:r>
        <w:rPr>
          <w:sz w:val="18"/>
        </w:rPr>
        <w:t>permission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clinicians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2"/>
          <w:sz w:val="18"/>
        </w:rPr>
        <w:t> </w:t>
      </w:r>
      <w:r>
        <w:rPr>
          <w:sz w:val="18"/>
        </w:rPr>
        <w:t>own</w:t>
      </w:r>
      <w:r>
        <w:rPr>
          <w:spacing w:val="-3"/>
          <w:sz w:val="18"/>
        </w:rPr>
        <w:t> </w:t>
      </w:r>
      <w:r>
        <w:rPr>
          <w:sz w:val="18"/>
        </w:rPr>
        <w:t>patients.</w:t>
      </w:r>
    </w:p>
    <w:sectPr>
      <w:pgSz w:w="12240" w:h="15840"/>
      <w:pgMar w:top="960" w:bottom="28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591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" w:hanging="2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640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548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552" w:hanging="22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2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531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" w:hanging="269"/>
      </w:pPr>
      <w:rPr>
        <w:rFonts w:hint="default"/>
        <w:lang w:val="en-U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0" w:right="681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sm5.org/Pages/Feedback-Form.aspx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jburke</dc:creator>
  <dc:title>Development of Cross-cutting Assessment Instruments</dc:title>
  <dcterms:created xsi:type="dcterms:W3CDTF">2023-02-03T23:56:59Z</dcterms:created>
  <dcterms:modified xsi:type="dcterms:W3CDTF">2023-02-03T23:56:59Z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