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9"/>
      </w:pPr>
      <w:r>
        <w:rPr/>
        <w:t>The APA is offering a number of “emerging measures” for further research and</w:t>
      </w:r>
      <w:r>
        <w:rPr>
          <w:spacing w:val="1"/>
        </w:rPr>
        <w:t> </w:t>
      </w:r>
      <w:r>
        <w:rPr/>
        <w:t>clinical evaluation. These patient assessment measures were developed to be</w:t>
      </w:r>
      <w:r>
        <w:rPr>
          <w:spacing w:val="1"/>
        </w:rPr>
        <w:t> </w:t>
      </w:r>
      <w:r>
        <w:rPr/>
        <w:t>administered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patient</w:t>
      </w:r>
      <w:r>
        <w:rPr>
          <w:spacing w:val="-5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monitor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progress.</w:t>
      </w:r>
      <w:r>
        <w:rPr>
          <w:spacing w:val="-60"/>
        </w:rPr>
        <w:t> </w:t>
      </w:r>
      <w:r>
        <w:rPr/>
        <w:t>They should be used in research and evaluation as potentially useful tools to</w:t>
      </w:r>
      <w:r>
        <w:rPr>
          <w:spacing w:val="1"/>
        </w:rPr>
        <w:t> </w:t>
      </w:r>
      <w:r>
        <w:rPr/>
        <w:t>enhance clinical decision-making and not as the sole basis for making a clinical</w:t>
      </w:r>
      <w:r>
        <w:rPr>
          <w:spacing w:val="1"/>
        </w:rPr>
        <w:t> </w:t>
      </w:r>
      <w:r>
        <w:rPr/>
        <w:t>diagnosis. Instructions, scoring information, and interpretation guidelines are</w:t>
      </w:r>
      <w:r>
        <w:rPr>
          <w:spacing w:val="1"/>
        </w:rPr>
        <w:t> </w:t>
      </w:r>
      <w:r>
        <w:rPr/>
        <w:t>provided; further background information can be found in DSM-5. The APA</w:t>
      </w:r>
      <w:r>
        <w:rPr>
          <w:spacing w:val="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clinicians</w:t>
      </w:r>
      <w:r>
        <w:rPr>
          <w:spacing w:val="-2"/>
        </w:rPr>
        <w:t> </w:t>
      </w:r>
      <w:r>
        <w:rPr/>
        <w:t>and researchers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spacing w:line="276" w:lineRule="auto" w:before="0"/>
        <w:ind w:left="540" w:right="628" w:firstLine="0"/>
        <w:jc w:val="left"/>
        <w:rPr>
          <w:b/>
          <w:sz w:val="28"/>
        </w:rPr>
      </w:pPr>
      <w:r>
        <w:rPr>
          <w:b/>
          <w:sz w:val="28"/>
        </w:rPr>
        <w:t>instruments’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usefulness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characterizing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improving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> </w:t>
      </w:r>
      <w:hyperlink r:id="rId5">
        <w:r>
          <w:rPr>
            <w:b/>
            <w:color w:val="0000FF"/>
            <w:sz w:val="28"/>
            <w:u w:val="single" w:color="0000FF"/>
          </w:rPr>
          <w:t>http://www.dsm5.org/Pages/Feedback-Form.aspx</w:t>
        </w:r>
      </w:hyperlink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44"/>
        <w:ind w:left="540" w:right="1965" w:firstLine="0"/>
        <w:jc w:val="left"/>
        <w:rPr>
          <w:sz w:val="28"/>
        </w:rPr>
      </w:pPr>
      <w:r>
        <w:rPr>
          <w:b/>
          <w:sz w:val="28"/>
        </w:rPr>
        <w:t>Measure: </w:t>
      </w:r>
      <w:r>
        <w:rPr>
          <w:sz w:val="28"/>
        </w:rPr>
        <w:t>Severity Measure for Generalized Anxiety Disorder—Adult</w:t>
      </w:r>
      <w:r>
        <w:rPr>
          <w:spacing w:val="1"/>
          <w:sz w:val="28"/>
        </w:rPr>
        <w:t> </w:t>
      </w:r>
      <w:r>
        <w:rPr>
          <w:b/>
          <w:sz w:val="28"/>
        </w:rPr>
        <w:t>Rights granted: </w:t>
      </w:r>
      <w:r>
        <w:rPr>
          <w:sz w:val="28"/>
        </w:rPr>
        <w:t>This measure can be reproduced without permission by</w:t>
      </w:r>
      <w:r>
        <w:rPr>
          <w:spacing w:val="-61"/>
          <w:sz w:val="28"/>
        </w:rPr>
        <w:t> </w:t>
      </w:r>
      <w:r>
        <w:rPr>
          <w:sz w:val="28"/>
        </w:rPr>
        <w:t>researchers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clinicians for use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patients.</w:t>
      </w:r>
    </w:p>
    <w:p>
      <w:pPr>
        <w:spacing w:line="341" w:lineRule="exact" w:before="2"/>
        <w:ind w:left="540" w:right="0" w:firstLine="0"/>
        <w:jc w:val="left"/>
        <w:rPr>
          <w:sz w:val="28"/>
        </w:rPr>
      </w:pPr>
      <w:r>
        <w:rPr>
          <w:b/>
          <w:sz w:val="28"/>
        </w:rPr>
        <w:t>Rights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holder:</w:t>
      </w:r>
      <w:r>
        <w:rPr>
          <w:b/>
          <w:spacing w:val="-3"/>
          <w:sz w:val="28"/>
        </w:rPr>
        <w:t> </w:t>
      </w:r>
      <w:r>
        <w:rPr>
          <w:sz w:val="28"/>
        </w:rPr>
        <w:t>American</w:t>
      </w:r>
      <w:r>
        <w:rPr>
          <w:spacing w:val="-4"/>
          <w:sz w:val="28"/>
        </w:rPr>
        <w:t> </w:t>
      </w:r>
      <w:r>
        <w:rPr>
          <w:sz w:val="28"/>
        </w:rPr>
        <w:t>Psychiatric</w:t>
      </w:r>
      <w:r>
        <w:rPr>
          <w:spacing w:val="-4"/>
          <w:sz w:val="28"/>
        </w:rPr>
        <w:t> </w:t>
      </w:r>
      <w:r>
        <w:rPr>
          <w:sz w:val="28"/>
        </w:rPr>
        <w:t>Association</w:t>
      </w:r>
    </w:p>
    <w:p>
      <w:pPr>
        <w:spacing w:before="0"/>
        <w:ind w:left="540" w:right="1555" w:firstLine="0"/>
        <w:jc w:val="left"/>
        <w:rPr>
          <w:sz w:val="28"/>
        </w:rPr>
      </w:pPr>
      <w:r>
        <w:rPr>
          <w:b/>
          <w:sz w:val="28"/>
        </w:rPr>
        <w:t>To request permission for any other use beyond what is stipulated above,</w:t>
      </w:r>
      <w:r>
        <w:rPr>
          <w:b/>
          <w:spacing w:val="-62"/>
          <w:sz w:val="28"/>
        </w:rPr>
        <w:t> </w:t>
      </w:r>
      <w:r>
        <w:rPr>
          <w:b/>
          <w:sz w:val="28"/>
        </w:rPr>
        <w:t>contact:</w:t>
      </w:r>
      <w:r>
        <w:rPr>
          <w:b/>
          <w:spacing w:val="-8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http://www.appi.org/CustomerService/Pages/Permissions.aspx</w:t>
        </w:r>
      </w:hyperlink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420" w:bottom="280" w:left="900" w:right="660"/>
        </w:sectPr>
      </w:pPr>
    </w:p>
    <w:p>
      <w:pPr>
        <w:pStyle w:val="Heading1"/>
        <w:spacing w:before="31"/>
        <w:ind w:left="99" w:right="51"/>
        <w:jc w:val="center"/>
      </w:pPr>
      <w:r>
        <w:rPr/>
        <w:t>Severity</w:t>
      </w:r>
      <w:r>
        <w:rPr>
          <w:spacing w:val="-4"/>
        </w:rPr>
        <w:t> </w:t>
      </w:r>
      <w:r>
        <w:rPr/>
        <w:t>Measure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Generalized</w:t>
      </w:r>
      <w:r>
        <w:rPr>
          <w:spacing w:val="-2"/>
        </w:rPr>
        <w:t> </w:t>
      </w:r>
      <w:r>
        <w:rPr/>
        <w:t>Anxiety</w:t>
      </w:r>
      <w:r>
        <w:rPr>
          <w:spacing w:val="-6"/>
        </w:rPr>
        <w:t> </w:t>
      </w:r>
      <w:r>
        <w:rPr/>
        <w:t>Disorder—Adult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top="1120" w:bottom="280" w:left="900" w:right="660"/>
        </w:sectPr>
      </w:pPr>
    </w:p>
    <w:p>
      <w:pPr>
        <w:tabs>
          <w:tab w:pos="4428" w:val="left" w:leader="none"/>
          <w:tab w:pos="5576" w:val="left" w:leader="none"/>
        </w:tabs>
        <w:spacing w:before="89"/>
        <w:ind w:left="252" w:right="0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>Age: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2452" w:val="left" w:leader="none"/>
          <w:tab w:pos="4639" w:val="left" w:leader="none"/>
        </w:tabs>
        <w:spacing w:before="89"/>
        <w:ind w:left="10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Sex: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Male</w:t>
      </w:r>
      <w:r>
        <w:rPr>
          <w:b/>
          <w:spacing w:val="45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43"/>
          <w:sz w:val="20"/>
        </w:rPr>
        <w:t> </w:t>
      </w:r>
      <w:r>
        <w:rPr>
          <w:b/>
          <w:sz w:val="20"/>
        </w:rPr>
        <w:t>Female</w:t>
      </w:r>
      <w:r>
        <w:rPr>
          <w:b/>
          <w:spacing w:val="1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Date:</w:t>
      </w:r>
      <w:r>
        <w:rPr>
          <w:b/>
          <w:sz w:val="20"/>
          <w:u w:val="single"/>
        </w:rPr>
        <w:t> </w:t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900" w:right="660"/>
          <w:cols w:num="2" w:equalWidth="0">
            <w:col w:w="5577" w:space="40"/>
            <w:col w:w="5063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before="195"/>
        <w:ind w:left="25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Instructions:</w:t>
      </w:r>
      <w:r>
        <w:rPr>
          <w:b/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4"/>
          <w:sz w:val="20"/>
        </w:rPr>
        <w:t> </w:t>
      </w:r>
      <w:r>
        <w:rPr>
          <w:sz w:val="20"/>
        </w:rPr>
        <w:t>ask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thoughts,</w:t>
      </w:r>
      <w:r>
        <w:rPr>
          <w:spacing w:val="-2"/>
          <w:sz w:val="20"/>
        </w:rPr>
        <w:t> </w:t>
      </w:r>
      <w:r>
        <w:rPr>
          <w:sz w:val="20"/>
        </w:rPr>
        <w:t>feelings,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behaviors,</w:t>
      </w:r>
      <w:r>
        <w:rPr>
          <w:spacing w:val="-3"/>
          <w:sz w:val="20"/>
        </w:rPr>
        <w:t> </w:t>
      </w:r>
      <w:r>
        <w:rPr>
          <w:sz w:val="20"/>
        </w:rPr>
        <w:t>often</w:t>
      </w:r>
      <w:r>
        <w:rPr>
          <w:spacing w:val="-2"/>
          <w:sz w:val="20"/>
        </w:rPr>
        <w:t> </w:t>
      </w:r>
      <w:r>
        <w:rPr>
          <w:sz w:val="20"/>
        </w:rPr>
        <w:t>tied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concerns</w:t>
      </w:r>
      <w:r>
        <w:rPr>
          <w:spacing w:val="-4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family,</w:t>
      </w:r>
      <w:r>
        <w:rPr>
          <w:spacing w:val="-3"/>
          <w:sz w:val="20"/>
        </w:rPr>
        <w:t> </w:t>
      </w:r>
      <w:r>
        <w:rPr>
          <w:sz w:val="20"/>
        </w:rPr>
        <w:t>health,</w:t>
      </w:r>
      <w:r>
        <w:rPr>
          <w:spacing w:val="-42"/>
          <w:sz w:val="20"/>
        </w:rPr>
        <w:t> </w:t>
      </w:r>
      <w:r>
        <w:rPr>
          <w:sz w:val="20"/>
        </w:rPr>
        <w:t>finances,</w:t>
      </w:r>
      <w:r>
        <w:rPr>
          <w:spacing w:val="2"/>
          <w:sz w:val="20"/>
        </w:rPr>
        <w:t> </w:t>
      </w:r>
      <w:r>
        <w:rPr>
          <w:sz w:val="20"/>
        </w:rPr>
        <w:t>school,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respond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marking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</w:t>
      </w:r>
      <w:r>
        <w:rPr>
          <w:rFonts w:ascii="Arial" w:eastAsia="Arial"/>
          <w:b/>
          <w:sz w:val="20"/>
        </w:rPr>
        <w:t>🗸</w:t>
      </w:r>
      <w:r>
        <w:rPr>
          <w:rFonts w:ascii="Arial" w:eastAsia="Arial"/>
          <w:b/>
          <w:spacing w:val="-10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row.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3778"/>
        <w:gridCol w:w="811"/>
        <w:gridCol w:w="1260"/>
        <w:gridCol w:w="1080"/>
        <w:gridCol w:w="1081"/>
        <w:gridCol w:w="984"/>
        <w:gridCol w:w="915"/>
      </w:tblGrid>
      <w:tr>
        <w:trPr>
          <w:trHeight w:val="489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spacing w:line="243" w:lineRule="exact"/>
              <w:ind w:left="8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Clinician</w:t>
            </w:r>
          </w:p>
          <w:p>
            <w:pPr>
              <w:pStyle w:val="TableParagraph"/>
              <w:spacing w:line="225" w:lineRule="exact"/>
              <w:ind w:left="8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</w:p>
        </w:tc>
      </w:tr>
      <w:tr>
        <w:trPr>
          <w:trHeight w:val="486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have…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spacing w:before="121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spacing w:before="12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spacing w:line="243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Half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23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line="243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23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spacing w:line="243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23" w:lineRule="exact"/>
              <w:ind w:left="11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  <w:p>
            <w:pPr>
              <w:pStyle w:val="TableParagraph"/>
              <w:spacing w:line="223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489" w:hRule="atLeast"/>
        </w:trPr>
        <w:tc>
          <w:tcPr>
            <w:tcW w:w="471" w:type="dxa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78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felt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sudden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terror,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fright</w:t>
            </w:r>
          </w:p>
        </w:tc>
        <w:tc>
          <w:tcPr>
            <w:tcW w:w="81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anxious,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worried,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nervous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24" w:lineRule="exact" w:before="0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14" w:val="left" w:leader="none"/>
              </w:tabs>
              <w:spacing w:line="224" w:lineRule="exact" w:before="0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25" w:val="left" w:leader="none"/>
              </w:tabs>
              <w:spacing w:line="224" w:lineRule="exact" w:before="0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25" w:val="left" w:leader="none"/>
              </w:tabs>
              <w:spacing w:line="224" w:lineRule="exact" w:before="0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224" w:lineRule="exact" w:before="0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2" w:hRule="atLeast"/>
        </w:trPr>
        <w:tc>
          <w:tcPr>
            <w:tcW w:w="4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7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thoughts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happening,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</w:p>
          <w:p>
            <w:pPr>
              <w:pStyle w:val="TableParagraph"/>
              <w:spacing w:line="24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as family tragedy, ill health, loss of a job, or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accidents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4" w:val="left" w:leader="none"/>
              </w:tabs>
              <w:spacing w:line="240" w:lineRule="auto" w:before="0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25" w:val="left" w:leader="none"/>
              </w:tabs>
              <w:spacing w:line="240" w:lineRule="auto" w:before="0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25" w:val="left" w:leader="none"/>
              </w:tabs>
              <w:spacing w:line="240" w:lineRule="auto" w:before="0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9" w:val="left" w:leader="none"/>
              </w:tabs>
              <w:spacing w:line="240" w:lineRule="auto" w:before="0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sweaty,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trouble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breathing,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shaky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71" w:type="dxa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7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muscles,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restless,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trouble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relaxing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trouble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sleeping</w:t>
            </w:r>
          </w:p>
        </w:tc>
        <w:tc>
          <w:tcPr>
            <w:tcW w:w="81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avoided,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enter,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worry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71" w:type="dxa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7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minimally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worries</w:t>
            </w:r>
          </w:p>
        </w:tc>
        <w:tc>
          <w:tcPr>
            <w:tcW w:w="81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putting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worries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14" w:val="left" w:leader="none"/>
              </w:tabs>
              <w:spacing w:line="240" w:lineRule="auto" w:before="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25" w:val="left" w:leader="none"/>
              </w:tabs>
              <w:spacing w:line="240" w:lineRule="auto" w:before="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625" w:val="left" w:leader="none"/>
              </w:tabs>
              <w:spacing w:line="240" w:lineRule="auto" w:before="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9" w:val="left" w:leader="none"/>
              </w:tabs>
              <w:spacing w:line="240" w:lineRule="auto" w:before="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71" w:type="dxa"/>
          </w:tcPr>
          <w:p>
            <w:pPr>
              <w:pStyle w:val="TableParagraph"/>
              <w:spacing w:before="12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7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sought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reassurance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worries</w:t>
            </w:r>
          </w:p>
        </w:tc>
        <w:tc>
          <w:tcPr>
            <w:tcW w:w="81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87" w:val="left" w:leader="none"/>
              </w:tabs>
              <w:spacing w:line="240" w:lineRule="auto" w:before="12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714" w:val="left" w:leader="none"/>
              </w:tabs>
              <w:spacing w:line="240" w:lineRule="auto" w:before="12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25" w:val="left" w:leader="none"/>
              </w:tabs>
              <w:spacing w:line="240" w:lineRule="auto" w:before="12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625" w:val="left" w:leader="none"/>
              </w:tabs>
              <w:spacing w:line="240" w:lineRule="auto" w:before="12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69" w:val="left" w:leader="none"/>
              </w:tabs>
              <w:spacing w:line="240" w:lineRule="auto" w:before="12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7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78" w:type="dxa"/>
            <w:shd w:val="clear" w:color="auto" w:fill="DBE4F0"/>
          </w:tcPr>
          <w:p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anxiety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medication,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superstitious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objects,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people)</w:t>
            </w:r>
          </w:p>
        </w:tc>
        <w:tc>
          <w:tcPr>
            <w:tcW w:w="81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1260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4" w:val="left" w:leader="none"/>
              </w:tabs>
              <w:spacing w:line="240" w:lineRule="auto" w:before="1" w:after="0"/>
              <w:ind w:left="713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080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625" w:val="left" w:leader="none"/>
              </w:tabs>
              <w:spacing w:line="240" w:lineRule="auto" w:before="1" w:after="0"/>
              <w:ind w:left="624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625" w:val="left" w:leader="none"/>
              </w:tabs>
              <w:spacing w:line="240" w:lineRule="auto" w:before="1" w:after="0"/>
              <w:ind w:left="62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984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69" w:val="left" w:leader="none"/>
              </w:tabs>
              <w:spacing w:line="240" w:lineRule="auto" w:before="1" w:after="0"/>
              <w:ind w:left="576" w:right="295" w:hanging="5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Total/Partial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24" w:lineRule="exact"/>
              <w:ind w:left="4692"/>
              <w:rPr>
                <w:b/>
                <w:sz w:val="20"/>
              </w:rPr>
            </w:pPr>
            <w:r>
              <w:rPr>
                <w:b/>
                <w:sz w:val="20"/>
              </w:rPr>
              <w:t>Prorated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1-2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left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unanswered)</w:t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</w:p>
        </w:tc>
        <w:tc>
          <w:tcPr>
            <w:tcW w:w="91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3310" w:right="100" w:hanging="1439"/>
        <w:jc w:val="left"/>
        <w:rPr>
          <w:sz w:val="16"/>
        </w:rPr>
      </w:pPr>
      <w:r>
        <w:rPr>
          <w:sz w:val="16"/>
        </w:rPr>
        <w:t>Craske M, Wittchen U, Bogels S, Stein </w:t>
      </w:r>
      <w:r>
        <w:rPr>
          <w:color w:val="333333"/>
          <w:sz w:val="16"/>
        </w:rPr>
        <w:t>M, Andrews G, Lebeu R. </w:t>
      </w:r>
      <w:r>
        <w:rPr>
          <w:sz w:val="16"/>
        </w:rPr>
        <w:t>Copyright © 2013 American Psychiatric Association. All rights reserved.</w:t>
      </w:r>
      <w:r>
        <w:rPr>
          <w:spacing w:val="-34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reproduced</w:t>
      </w:r>
      <w:r>
        <w:rPr>
          <w:spacing w:val="-3"/>
          <w:sz w:val="16"/>
        </w:rPr>
        <w:t> </w:t>
      </w:r>
      <w:r>
        <w:rPr>
          <w:sz w:val="16"/>
        </w:rPr>
        <w:t>without</w:t>
      </w:r>
      <w:r>
        <w:rPr>
          <w:spacing w:val="-4"/>
          <w:sz w:val="16"/>
        </w:rPr>
        <w:t> </w:t>
      </w:r>
      <w:r>
        <w:rPr>
          <w:sz w:val="16"/>
        </w:rPr>
        <w:t>permission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researchers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by clinicians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their</w:t>
      </w:r>
      <w:r>
        <w:rPr>
          <w:spacing w:val="-1"/>
          <w:sz w:val="16"/>
        </w:rPr>
        <w:t> </w:t>
      </w:r>
      <w:r>
        <w:rPr>
          <w:sz w:val="16"/>
        </w:rPr>
        <w:t>patients.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420" w:bottom="280" w:left="900" w:right="660"/>
        </w:sectPr>
      </w:pPr>
    </w:p>
    <w:p>
      <w:pPr>
        <w:pStyle w:val="Heading2"/>
        <w:spacing w:before="45"/>
      </w:pP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Clinicians</w:t>
      </w:r>
    </w:p>
    <w:p>
      <w:pPr>
        <w:pStyle w:val="BodyText"/>
        <w:ind w:left="107" w:right="486"/>
      </w:pPr>
      <w:r>
        <w:rPr/>
        <w:t>The Severity Measure for Generalized Anxiety Disorder—Adult is a 10-item measure that assesses the severity of</w:t>
      </w:r>
      <w:r>
        <w:rPr>
          <w:spacing w:val="-47"/>
        </w:rPr>
        <w:t> </w:t>
      </w:r>
      <w:r>
        <w:rPr/>
        <w:t>generalized anxiety disorder in individuals age 18 and older. The measure was designed to be completed by an</w:t>
      </w:r>
      <w:r>
        <w:rPr>
          <w:spacing w:val="1"/>
        </w:rPr>
        <w:t> </w:t>
      </w:r>
      <w:r>
        <w:rPr/>
        <w:t>individual upon receiving a diagnosis of generalized anxiety disorder (or clinically significant generalized anxiety</w:t>
      </w:r>
      <w:r>
        <w:rPr>
          <w:spacing w:val="1"/>
        </w:rPr>
        <w:t> </w:t>
      </w:r>
      <w:r>
        <w:rPr/>
        <w:t>symptoms) and thereafter, prior to follow-up visits with the clinician. Each item asks the individual to rate the</w:t>
      </w:r>
      <w:r>
        <w:rPr>
          <w:spacing w:val="1"/>
        </w:rPr>
        <w:t> </w:t>
      </w:r>
      <w:r>
        <w:rPr/>
        <w:t>severity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his or</w:t>
      </w:r>
      <w:r>
        <w:rPr>
          <w:spacing w:val="-3"/>
        </w:rPr>
        <w:t> </w:t>
      </w:r>
      <w:r>
        <w:rPr/>
        <w:t>her generalized</w:t>
      </w:r>
      <w:r>
        <w:rPr>
          <w:spacing w:val="-1"/>
        </w:rPr>
        <w:t> </w:t>
      </w:r>
      <w:r>
        <w:rPr/>
        <w:t>anxiety disorder</w:t>
      </w:r>
      <w:r>
        <w:rPr>
          <w:spacing w:val="1"/>
        </w:rPr>
        <w:t> </w:t>
      </w:r>
      <w:r>
        <w:rPr>
          <w:b/>
          <w:u w:val="single"/>
        </w:rPr>
        <w:t>during the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past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7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days</w:t>
      </w:r>
      <w:r>
        <w:rPr/>
        <w:t>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56"/>
      </w:pPr>
      <w:r>
        <w:rPr/>
        <w:t>Scoring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spacing w:before="1"/>
        <w:ind w:left="107" w:right="394"/>
      </w:pPr>
      <w:r>
        <w:rPr/>
        <w:t>Each item on the measure is rated on a 5-point scale (0=Never; 1=Occasionally; 2=Half of the time; 3=Most of the</w:t>
      </w:r>
      <w:r>
        <w:rPr>
          <w:spacing w:val="1"/>
        </w:rPr>
        <w:t> </w:t>
      </w:r>
      <w:r>
        <w:rPr/>
        <w:t>time, and 4=All of the time). The total score can range from 0 to 40, with higher scores indicating greater severity</w:t>
      </w:r>
      <w:r>
        <w:rPr>
          <w:spacing w:val="1"/>
        </w:rPr>
        <w:t> </w:t>
      </w:r>
      <w:r>
        <w:rPr/>
        <w:t>of generalized anxiety disorder. The clinician is asked to review the score of each item on the measure during the</w:t>
      </w:r>
      <w:r>
        <w:rPr>
          <w:spacing w:val="1"/>
        </w:rPr>
        <w:t> </w:t>
      </w:r>
      <w:r>
        <w:rPr/>
        <w:t>clinical interview and indicate the raw score for each item in the section provided for “Clinician Use.” The raw</w:t>
      </w:r>
      <w:r>
        <w:rPr>
          <w:spacing w:val="1"/>
        </w:rPr>
        <w:t> </w:t>
      </w:r>
      <w:r>
        <w:rPr/>
        <w:t>scores on the 10 items should be summed to obtain a total raw score.</w:t>
      </w:r>
      <w:r>
        <w:rPr>
          <w:spacing w:val="1"/>
        </w:rPr>
        <w:t> </w:t>
      </w:r>
      <w:r>
        <w:rPr/>
        <w:t>In addition, the clinician is asked to</w:t>
      </w:r>
      <w:r>
        <w:rPr>
          <w:spacing w:val="1"/>
        </w:rPr>
        <w:t> </w:t>
      </w:r>
      <w:r>
        <w:rPr/>
        <w:t>calculate and use the </w:t>
      </w:r>
      <w:r>
        <w:rPr>
          <w:b/>
          <w:u w:val="single"/>
        </w:rPr>
        <w:t>average total score</w:t>
      </w:r>
      <w:r>
        <w:rPr/>
        <w:t>. The </w:t>
      </w:r>
      <w:r>
        <w:rPr>
          <w:b/>
        </w:rPr>
        <w:t>average total score </w:t>
      </w:r>
      <w:r>
        <w:rPr/>
        <w:t>reduces the overall score to a 5-point scale,</w:t>
      </w:r>
      <w:r>
        <w:rPr>
          <w:spacing w:val="1"/>
        </w:rPr>
        <w:t> </w:t>
      </w:r>
      <w:r>
        <w:rPr/>
        <w:t>which allows the clinician to think of the severity of the individual’s generalized anxiety disorder in terms of none</w:t>
      </w:r>
      <w:r>
        <w:rPr>
          <w:spacing w:val="1"/>
        </w:rPr>
        <w:t> </w:t>
      </w:r>
      <w:r>
        <w:rPr/>
        <w:t>(0), mild (1), moderate (2), severe (3), or extreme (4). The use of the average total score was found to be reliable,</w:t>
      </w:r>
      <w:r>
        <w:rPr>
          <w:spacing w:val="1"/>
        </w:rPr>
        <w:t> </w:t>
      </w:r>
      <w:r>
        <w:rPr/>
        <w:t>easy to use, and clinically useful to the clinicians in the DSM-5 Field Trials. The </w:t>
      </w:r>
      <w:r>
        <w:rPr>
          <w:b/>
          <w:u w:val="single"/>
        </w:rPr>
        <w:t>average total score</w:t>
      </w:r>
      <w:r>
        <w:rPr>
          <w:b/>
        </w:rPr>
        <w:t> </w:t>
      </w:r>
      <w:r>
        <w:rPr/>
        <w:t>is calculated by</w:t>
      </w:r>
      <w:r>
        <w:rPr>
          <w:spacing w:val="-47"/>
        </w:rPr>
        <w:t> </w:t>
      </w:r>
      <w:r>
        <w:rPr/>
        <w:t>dividing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-2"/>
        </w:rPr>
        <w:t> </w:t>
      </w:r>
      <w:r>
        <w:rPr/>
        <w:t>total score</w:t>
      </w:r>
      <w:r>
        <w:rPr>
          <w:spacing w:val="-2"/>
        </w:rPr>
        <w:t> </w:t>
      </w:r>
      <w:r>
        <w:rPr/>
        <w:t>by number</w:t>
      </w:r>
      <w:r>
        <w:rPr>
          <w:spacing w:val="-2"/>
        </w:rPr>
        <w:t> </w:t>
      </w:r>
      <w:r>
        <w:rPr/>
        <w:t>of items</w:t>
      </w:r>
      <w:r>
        <w:rPr>
          <w:spacing w:val="-3"/>
        </w:rPr>
        <w:t> </w:t>
      </w:r>
      <w:r>
        <w:rPr/>
        <w:t>in the</w:t>
      </w:r>
      <w:r>
        <w:rPr>
          <w:spacing w:val="-5"/>
        </w:rPr>
        <w:t> </w:t>
      </w:r>
      <w:r>
        <w:rPr/>
        <w:t>measure</w:t>
      </w:r>
      <w:r>
        <w:rPr>
          <w:spacing w:val="1"/>
        </w:rPr>
        <w:t> </w:t>
      </w:r>
      <w:r>
        <w:rPr/>
        <w:t>(i.e., 10).</w:t>
      </w:r>
    </w:p>
    <w:p>
      <w:pPr>
        <w:pStyle w:val="BodyText"/>
      </w:pPr>
    </w:p>
    <w:p>
      <w:pPr>
        <w:pStyle w:val="BodyText"/>
        <w:spacing w:before="1"/>
        <w:ind w:left="107" w:right="356"/>
      </w:pPr>
      <w:r>
        <w:rPr>
          <w:b/>
        </w:rPr>
        <w:t>Note: </w:t>
      </w:r>
      <w:r>
        <w:rPr/>
        <w:t>If 3 or more items are left unanswered, the total score on the measure should not be calculated.</w:t>
      </w:r>
      <w:r>
        <w:rPr>
          <w:spacing w:val="1"/>
        </w:rPr>
        <w:t> </w:t>
      </w:r>
      <w:r>
        <w:rPr/>
        <w:t>Therefore,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care</w:t>
      </w:r>
      <w:r>
        <w:rPr>
          <w:spacing w:val="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3"/>
        </w:rPr>
        <w:t> </w:t>
      </w:r>
      <w:r>
        <w:rPr/>
        <w:t>all 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items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measure.</w:t>
      </w:r>
      <w:r>
        <w:rPr>
          <w:spacing w:val="54"/>
        </w:rPr>
        <w:t> </w:t>
      </w:r>
      <w:r>
        <w:rPr/>
        <w:t>If</w:t>
      </w:r>
      <w:r>
        <w:rPr>
          <w:spacing w:val="-2"/>
        </w:rPr>
        <w:t> </w:t>
      </w:r>
      <w:r>
        <w:rPr/>
        <w:t>1 or</w:t>
      </w:r>
      <w:r>
        <w:rPr>
          <w:spacing w:val="2"/>
        </w:rPr>
        <w:t> </w:t>
      </w:r>
      <w:r>
        <w:rPr/>
        <w:t>2 items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left unanswered,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calculate</w:t>
      </w:r>
      <w:r>
        <w:rPr>
          <w:spacing w:val="2"/>
        </w:rPr>
        <w:t> </w:t>
      </w:r>
      <w:r>
        <w:rPr/>
        <w:t>a prorated</w:t>
      </w:r>
      <w:r>
        <w:rPr>
          <w:spacing w:val="1"/>
        </w:rPr>
        <w:t> </w:t>
      </w:r>
      <w:r>
        <w:rPr/>
        <w:t>score.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</w:t>
      </w:r>
      <w:r>
        <w:rPr/>
        <w:t>prorated</w:t>
      </w:r>
      <w:r>
        <w:rPr>
          <w:spacing w:val="1"/>
        </w:rPr>
        <w:t> </w:t>
      </w:r>
      <w:r>
        <w:rPr/>
        <w:t>score is</w:t>
      </w:r>
      <w:r>
        <w:rPr>
          <w:spacing w:val="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summing</w:t>
      </w:r>
      <w:r>
        <w:rPr>
          <w:spacing w:val="1"/>
        </w:rPr>
        <w:t> </w:t>
      </w:r>
      <w:r>
        <w:rPr/>
        <w:t>the scores of items that were answered to get a partial raw score.</w:t>
      </w:r>
      <w:r>
        <w:rPr>
          <w:spacing w:val="1"/>
        </w:rPr>
        <w:t> </w:t>
      </w:r>
      <w:r>
        <w:rPr/>
        <w:t>Multiply the partial raw score by the total</w:t>
      </w:r>
      <w:r>
        <w:rPr>
          <w:spacing w:val="1"/>
        </w:rPr>
        <w:t> </w:t>
      </w:r>
      <w:r>
        <w:rPr/>
        <w:t>number of items on the Severity Measure for Generalized Anxiety Disorder (i.e., 10) and divide the value by the</w:t>
      </w:r>
      <w:r>
        <w:rPr>
          <w:spacing w:val="1"/>
        </w:rPr>
        <w:t> </w:t>
      </w:r>
      <w:r>
        <w:rPr/>
        <w:t>number of items that were actually answered (i.e., 8 or 9). The formula to prorate the partial raw score to Total</w:t>
      </w:r>
      <w:r>
        <w:rPr>
          <w:spacing w:val="1"/>
        </w:rPr>
        <w:t> </w:t>
      </w:r>
      <w:r>
        <w:rPr/>
        <w:t>Raw Score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2143" w:val="left" w:leader="none"/>
          <w:tab w:pos="4926" w:val="left" w:leader="none"/>
        </w:tabs>
        <w:spacing w:before="56"/>
        <w:ind w:left="828" w:right="5746" w:hanging="3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(Raw</w:t>
      </w:r>
      <w:r>
        <w:rPr>
          <w:spacing w:val="-3"/>
          <w:u w:val="single"/>
        </w:rPr>
        <w:t> </w:t>
      </w:r>
      <w:r>
        <w:rPr>
          <w:u w:val="single"/>
        </w:rPr>
        <w:t>sum</w:t>
      </w:r>
      <w:r>
        <w:rPr>
          <w:spacing w:val="-2"/>
          <w:u w:val="single"/>
        </w:rPr>
        <w:t> </w:t>
      </w:r>
      <w:r>
        <w:rPr>
          <w:u w:val="single"/>
        </w:rPr>
        <w:t>x</w:t>
      </w:r>
      <w:r>
        <w:rPr>
          <w:spacing w:val="-1"/>
          <w:u w:val="single"/>
        </w:rPr>
        <w:t> </w:t>
      </w:r>
      <w:r>
        <w:rPr>
          <w:u w:val="single"/>
        </w:rPr>
        <w:t>10)</w:t>
        <w:tab/>
      </w:r>
      <w:r>
        <w:rPr/>
        <w:t> Number</w:t>
      </w:r>
      <w:r>
        <w:rPr>
          <w:spacing w:val="-2"/>
        </w:rPr>
        <w:t> </w:t>
      </w:r>
      <w:r>
        <w:rPr/>
        <w:t>of items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answered</w:t>
      </w:r>
    </w:p>
    <w:p>
      <w:pPr>
        <w:pStyle w:val="BodyText"/>
        <w:spacing w:before="1"/>
      </w:pPr>
    </w:p>
    <w:p>
      <w:pPr>
        <w:pStyle w:val="BodyText"/>
        <w:ind w:left="99" w:right="5068"/>
        <w:jc w:val="center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fraction,</w:t>
      </w:r>
      <w:r>
        <w:rPr>
          <w:spacing w:val="-2"/>
        </w:rPr>
        <w:t> </w:t>
      </w:r>
      <w:r>
        <w:rPr/>
        <w:t>round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nearest</w:t>
      </w:r>
      <w:r>
        <w:rPr>
          <w:spacing w:val="-3"/>
        </w:rPr>
        <w:t> </w:t>
      </w:r>
      <w:r>
        <w:rPr/>
        <w:t>whole</w:t>
      </w:r>
      <w:r>
        <w:rPr>
          <w:spacing w:val="-1"/>
        </w:rPr>
        <w:t> </w:t>
      </w:r>
      <w:r>
        <w:rPr/>
        <w:t>number.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Frequency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1"/>
        <w:ind w:left="107"/>
      </w:pPr>
      <w:r>
        <w:rPr/>
        <w:t>To</w:t>
      </w:r>
      <w:r>
        <w:rPr>
          <w:spacing w:val="-1"/>
        </w:rPr>
        <w:t> </w:t>
      </w:r>
      <w:r>
        <w:rPr/>
        <w:t>track</w:t>
      </w:r>
      <w:r>
        <w:rPr>
          <w:spacing w:val="-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severity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individual’s</w:t>
      </w:r>
      <w:r>
        <w:rPr>
          <w:spacing w:val="-3"/>
        </w:rPr>
        <w:t> </w:t>
      </w:r>
      <w:r>
        <w:rPr/>
        <w:t>generalized anxiety</w:t>
      </w:r>
      <w:r>
        <w:rPr>
          <w:spacing w:val="1"/>
        </w:rPr>
        <w:t> </w:t>
      </w:r>
      <w:r>
        <w:rPr/>
        <w:t>disorder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ind w:left="107" w:right="405"/>
      </w:pPr>
      <w:r>
        <w:rPr/>
        <w:t>completed at regular intervals as clinically indicated, depending on the stability of the individual’s symptoms and</w:t>
      </w:r>
      <w:r>
        <w:rPr>
          <w:spacing w:val="1"/>
        </w:rPr>
        <w:t> </w:t>
      </w:r>
      <w:r>
        <w:rPr/>
        <w:t>treatment status. Consistently high scores on a particular domain may indicate significant and problematic areas</w:t>
      </w:r>
      <w:r>
        <w:rPr>
          <w:spacing w:val="1"/>
        </w:rPr>
        <w:t> </w:t>
      </w:r>
      <w:r>
        <w:rPr/>
        <w:t>for the individual that might warrant further assessment, treatment, and follow-up. Your clinical judgment should</w:t>
      </w:r>
      <w:r>
        <w:rPr>
          <w:spacing w:val="-47"/>
        </w:rPr>
        <w:t> </w:t>
      </w:r>
      <w:r>
        <w:rPr/>
        <w:t>guide your decision.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68"/>
        <w:ind w:left="3080" w:right="129" w:firstLine="2570"/>
        <w:jc w:val="left"/>
        <w:rPr>
          <w:sz w:val="16"/>
        </w:rPr>
      </w:pPr>
      <w:r>
        <w:rPr>
          <w:sz w:val="16"/>
        </w:rPr>
        <w:t>Copyright</w:t>
      </w:r>
      <w:r>
        <w:rPr>
          <w:spacing w:val="-5"/>
          <w:sz w:val="16"/>
        </w:rPr>
        <w:t> </w:t>
      </w:r>
      <w:r>
        <w:rPr>
          <w:sz w:val="16"/>
        </w:rPr>
        <w:t>©</w:t>
      </w:r>
      <w:r>
        <w:rPr>
          <w:spacing w:val="-2"/>
          <w:sz w:val="16"/>
        </w:rPr>
        <w:t> </w:t>
      </w:r>
      <w:r>
        <w:rPr>
          <w:sz w:val="16"/>
        </w:rPr>
        <w:t>2013</w:t>
      </w:r>
      <w:r>
        <w:rPr>
          <w:spacing w:val="-2"/>
          <w:sz w:val="16"/>
        </w:rPr>
        <w:t> </w:t>
      </w:r>
      <w:r>
        <w:rPr>
          <w:sz w:val="16"/>
        </w:rPr>
        <w:t>American</w:t>
      </w:r>
      <w:r>
        <w:rPr>
          <w:spacing w:val="-4"/>
          <w:sz w:val="16"/>
        </w:rPr>
        <w:t> </w:t>
      </w:r>
      <w:r>
        <w:rPr>
          <w:sz w:val="16"/>
        </w:rPr>
        <w:t>Psychiatric</w:t>
      </w:r>
      <w:r>
        <w:rPr>
          <w:spacing w:val="-3"/>
          <w:sz w:val="16"/>
        </w:rPr>
        <w:t> </w:t>
      </w:r>
      <w:r>
        <w:rPr>
          <w:sz w:val="16"/>
        </w:rPr>
        <w:t>Association.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Rights</w:t>
      </w:r>
      <w:r>
        <w:rPr>
          <w:spacing w:val="-3"/>
          <w:sz w:val="16"/>
        </w:rPr>
        <w:t> </w:t>
      </w:r>
      <w:r>
        <w:rPr>
          <w:sz w:val="16"/>
        </w:rPr>
        <w:t>Reserved.</w:t>
      </w:r>
      <w:r>
        <w:rPr>
          <w:spacing w:val="-33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reproduced</w:t>
      </w:r>
      <w:r>
        <w:rPr>
          <w:spacing w:val="-3"/>
          <w:sz w:val="16"/>
        </w:rPr>
        <w:t> </w:t>
      </w:r>
      <w:r>
        <w:rPr>
          <w:sz w:val="16"/>
        </w:rPr>
        <w:t>without</w:t>
      </w:r>
      <w:r>
        <w:rPr>
          <w:spacing w:val="-4"/>
          <w:sz w:val="16"/>
        </w:rPr>
        <w:t> </w:t>
      </w:r>
      <w:r>
        <w:rPr>
          <w:sz w:val="16"/>
        </w:rPr>
        <w:t>permission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researchers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clinicians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their</w:t>
      </w:r>
      <w:r>
        <w:rPr>
          <w:spacing w:val="-1"/>
          <w:sz w:val="16"/>
        </w:rPr>
        <w:t> </w:t>
      </w:r>
      <w:r>
        <w:rPr>
          <w:sz w:val="16"/>
        </w:rPr>
        <w:t>patients.</w:t>
      </w:r>
    </w:p>
    <w:sectPr>
      <w:pgSz w:w="12240" w:h="15840"/>
      <w:pgMar w:top="960" w:bottom="28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576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62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624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713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48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" w:hanging="269"/>
      </w:pPr>
      <w:rPr>
        <w:rFonts w:hint="default"/>
        <w:lang w:val="en-U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 w:right="628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sm5.org/Pages/Feedback-Form.aspx" TargetMode="External"/><Relationship Id="rId6" Type="http://schemas.openxmlformats.org/officeDocument/2006/relationships/hyperlink" Target="http://www.appi.org/CustomerService/Pages/Permissions.aspx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Kuramoto</dc:creator>
  <dcterms:created xsi:type="dcterms:W3CDTF">2023-02-03T23:56:18Z</dcterms:created>
  <dcterms:modified xsi:type="dcterms:W3CDTF">2023-02-03T23:56:18Z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