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20"/>
      </w:pPr>
      <w:r>
        <w:rPr/>
        <w:t>The APA is offering a number of “emerging measures” for further research and</w:t>
      </w:r>
      <w:r>
        <w:rPr>
          <w:spacing w:val="1"/>
        </w:rPr>
        <w:t> </w:t>
      </w:r>
      <w:r>
        <w:rPr/>
        <w:t>clinical evaluation. These patient assessment measures were developed to be</w:t>
      </w:r>
      <w:r>
        <w:rPr>
          <w:spacing w:val="1"/>
        </w:rPr>
        <w:t> </w:t>
      </w:r>
      <w:r>
        <w:rPr/>
        <w:t>administered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initial</w:t>
      </w:r>
      <w:r>
        <w:rPr>
          <w:spacing w:val="-1"/>
        </w:rPr>
        <w:t> </w:t>
      </w:r>
      <w:r>
        <w:rPr/>
        <w:t>patient</w:t>
      </w:r>
      <w:r>
        <w:rPr>
          <w:spacing w:val="-4"/>
        </w:rPr>
        <w:t> </w:t>
      </w:r>
      <w:r>
        <w:rPr/>
        <w:t>interview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monitor</w:t>
      </w:r>
      <w:r>
        <w:rPr>
          <w:spacing w:val="-4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progress.</w:t>
      </w:r>
      <w:r>
        <w:rPr>
          <w:spacing w:val="-60"/>
        </w:rPr>
        <w:t> </w:t>
      </w:r>
      <w:r>
        <w:rPr/>
        <w:t>They should be used in research and evaluation as potentially useful tools to</w:t>
      </w:r>
      <w:r>
        <w:rPr>
          <w:spacing w:val="1"/>
        </w:rPr>
        <w:t> </w:t>
      </w:r>
      <w:r>
        <w:rPr/>
        <w:t>enhance clinical decision-making and not as the sole basis for making a clinical</w:t>
      </w:r>
      <w:r>
        <w:rPr>
          <w:spacing w:val="1"/>
        </w:rPr>
        <w:t> </w:t>
      </w:r>
      <w:r>
        <w:rPr/>
        <w:t>diagnosis. Instructions, scoring information, and interpretation guidelines are</w:t>
      </w:r>
      <w:r>
        <w:rPr>
          <w:spacing w:val="1"/>
        </w:rPr>
        <w:t> </w:t>
      </w:r>
      <w:r>
        <w:rPr/>
        <w:t>provided; further background information can be found in DSM-5. The APA</w:t>
      </w:r>
      <w:r>
        <w:rPr>
          <w:spacing w:val="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clinicians</w:t>
      </w:r>
      <w:r>
        <w:rPr>
          <w:spacing w:val="-2"/>
        </w:rPr>
        <w:t> </w:t>
      </w:r>
      <w:r>
        <w:rPr/>
        <w:t>and researchers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spacing w:line="276" w:lineRule="auto" w:before="0"/>
        <w:ind w:left="520" w:right="873" w:firstLine="0"/>
        <w:jc w:val="left"/>
        <w:rPr>
          <w:b/>
          <w:sz w:val="28"/>
        </w:rPr>
      </w:pPr>
      <w:r>
        <w:rPr>
          <w:b/>
          <w:sz w:val="28"/>
        </w:rPr>
        <w:t>instruments’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usefulness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characterizing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status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improving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1"/>
          <w:sz w:val="28"/>
        </w:rPr>
        <w:t> </w:t>
      </w:r>
      <w:hyperlink r:id="rId5">
        <w:r>
          <w:rPr>
            <w:b/>
            <w:color w:val="0000FF"/>
            <w:sz w:val="28"/>
            <w:u w:val="single" w:color="0000FF"/>
          </w:rPr>
          <w:t>http://www.dsm5.org/Pages/Feedback-Form.aspx</w:t>
        </w:r>
      </w:hyperlink>
      <w:r>
        <w:rPr>
          <w:b/>
          <w:sz w:val="28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spacing w:before="44"/>
      </w:pPr>
      <w:r>
        <w:rPr>
          <w:b/>
        </w:rPr>
        <w:t>Measure:</w:t>
      </w:r>
      <w:r>
        <w:rPr>
          <w:b/>
          <w:spacing w:val="-4"/>
        </w:rPr>
        <w:t> </w:t>
      </w:r>
      <w:r>
        <w:rPr/>
        <w:t>Severity</w:t>
      </w:r>
      <w:r>
        <w:rPr>
          <w:spacing w:val="-4"/>
        </w:rPr>
        <w:t> </w:t>
      </w:r>
      <w:r>
        <w:rPr/>
        <w:t>Measure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Depression—Adult</w:t>
      </w:r>
      <w:r>
        <w:rPr>
          <w:spacing w:val="-4"/>
        </w:rPr>
        <w:t> </w:t>
      </w:r>
      <w:r>
        <w:rPr/>
        <w:t>(adapted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Patient</w:t>
      </w:r>
      <w:r>
        <w:rPr>
          <w:spacing w:val="-60"/>
        </w:rPr>
        <w:t> </w:t>
      </w:r>
      <w:r>
        <w:rPr/>
        <w:t>Health</w:t>
      </w:r>
      <w:r>
        <w:rPr>
          <w:spacing w:val="-4"/>
        </w:rPr>
        <w:t> </w:t>
      </w:r>
      <w:r>
        <w:rPr/>
        <w:t>Questionnaire–9</w:t>
      </w:r>
      <w:r>
        <w:rPr>
          <w:spacing w:val="-2"/>
        </w:rPr>
        <w:t> </w:t>
      </w:r>
      <w:r>
        <w:rPr/>
        <w:t>[PHQ-9])</w:t>
      </w:r>
    </w:p>
    <w:p>
      <w:pPr>
        <w:spacing w:before="1"/>
        <w:ind w:left="520" w:right="2005" w:firstLine="0"/>
        <w:jc w:val="left"/>
        <w:rPr>
          <w:sz w:val="28"/>
        </w:rPr>
      </w:pPr>
      <w:r>
        <w:rPr>
          <w:b/>
          <w:sz w:val="28"/>
        </w:rPr>
        <w:t>Rights granted: </w:t>
      </w:r>
      <w:r>
        <w:rPr>
          <w:sz w:val="28"/>
        </w:rPr>
        <w:t>This measure can be reproduced without permission by</w:t>
      </w:r>
      <w:r>
        <w:rPr>
          <w:spacing w:val="-61"/>
          <w:sz w:val="28"/>
        </w:rPr>
        <w:t> </w:t>
      </w:r>
      <w:r>
        <w:rPr>
          <w:sz w:val="28"/>
        </w:rPr>
        <w:t>researchers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clinicians for use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patients.</w:t>
      </w:r>
    </w:p>
    <w:p>
      <w:pPr>
        <w:spacing w:before="0"/>
        <w:ind w:left="520" w:right="873" w:firstLine="0"/>
        <w:jc w:val="left"/>
        <w:rPr>
          <w:sz w:val="28"/>
        </w:rPr>
      </w:pPr>
      <w:r>
        <w:rPr>
          <w:b/>
          <w:sz w:val="28"/>
        </w:rPr>
        <w:t>Rights holder: </w:t>
      </w:r>
      <w:r>
        <w:rPr>
          <w:sz w:val="28"/>
        </w:rPr>
        <w:t>This measure was adapted from the Patient Health Questionnaire–</w:t>
      </w:r>
      <w:r>
        <w:rPr>
          <w:spacing w:val="-61"/>
          <w:sz w:val="28"/>
        </w:rPr>
        <w:t> </w:t>
      </w:r>
      <w:r>
        <w:rPr>
          <w:sz w:val="28"/>
        </w:rPr>
        <w:t>9 (PHQ-9), which is in the public domain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6">
        <w:r>
          <w:rPr>
            <w:sz w:val="28"/>
          </w:rPr>
          <w:t>http://www.phqscreeners.com/instructions/instructions.pdf). </w:t>
        </w:r>
      </w:hyperlink>
      <w:r>
        <w:rPr>
          <w:sz w:val="28"/>
        </w:rPr>
        <w:t>The original</w:t>
      </w:r>
      <w:r>
        <w:rPr>
          <w:spacing w:val="1"/>
          <w:sz w:val="28"/>
        </w:rPr>
        <w:t> </w:t>
      </w:r>
      <w:r>
        <w:rPr>
          <w:sz w:val="28"/>
        </w:rPr>
        <w:t>measure was developed by Drs. Robert L. Spitzer, Janet B.W. Williams, Kurt</w:t>
      </w:r>
      <w:r>
        <w:rPr>
          <w:spacing w:val="1"/>
          <w:sz w:val="28"/>
        </w:rPr>
        <w:t> </w:t>
      </w:r>
      <w:r>
        <w:rPr>
          <w:sz w:val="28"/>
        </w:rPr>
        <w:t>Kroenke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colleagues,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educational</w:t>
      </w:r>
      <w:r>
        <w:rPr>
          <w:spacing w:val="-2"/>
          <w:sz w:val="28"/>
        </w:rPr>
        <w:t> </w:t>
      </w:r>
      <w:r>
        <w:rPr>
          <w:sz w:val="28"/>
        </w:rPr>
        <w:t>grant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Pfizer Inc.</w:t>
      </w:r>
    </w:p>
    <w:p>
      <w:pPr>
        <w:spacing w:before="0"/>
        <w:ind w:left="520" w:right="1595" w:firstLine="0"/>
        <w:jc w:val="left"/>
        <w:rPr>
          <w:sz w:val="28"/>
        </w:rPr>
      </w:pPr>
      <w:r>
        <w:rPr>
          <w:b/>
          <w:sz w:val="28"/>
        </w:rPr>
        <w:t>To request permission for any other use beyond what is stipulated above,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contact: </w:t>
      </w:r>
      <w:r>
        <w:rPr>
          <w:sz w:val="28"/>
        </w:rPr>
        <w:t>The measure is in the public domain and can be used without</w:t>
      </w:r>
      <w:r>
        <w:rPr>
          <w:spacing w:val="1"/>
          <w:sz w:val="28"/>
        </w:rPr>
        <w:t> </w:t>
      </w:r>
      <w:r>
        <w:rPr>
          <w:sz w:val="28"/>
        </w:rPr>
        <w:t>permission.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420" w:bottom="280" w:left="920" w:right="620"/>
        </w:sectPr>
      </w:pPr>
    </w:p>
    <w:p>
      <w:pPr>
        <w:pStyle w:val="Heading1"/>
        <w:spacing w:before="73"/>
        <w:ind w:left="2436" w:right="2443"/>
        <w:jc w:val="center"/>
      </w:pPr>
      <w:r>
        <w:rPr/>
        <w:t>Severity</w:t>
      </w:r>
      <w:r>
        <w:rPr>
          <w:spacing w:val="-3"/>
        </w:rPr>
        <w:t> </w:t>
      </w:r>
      <w:r>
        <w:rPr/>
        <w:t>Measure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Depression—Adult</w:t>
      </w:r>
      <w:r>
        <w:rPr>
          <w:vertAlign w:val="superscript"/>
        </w:rPr>
        <w:t>*</w:t>
      </w:r>
    </w:p>
    <w:p>
      <w:pPr>
        <w:spacing w:before="61"/>
        <w:ind w:left="2439" w:right="2443" w:firstLine="0"/>
        <w:jc w:val="center"/>
        <w:rPr>
          <w:sz w:val="24"/>
        </w:rPr>
      </w:pP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Adapted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Patient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Health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Questionnaire–9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(PHQ-9)</w:t>
      </w: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420" w:bottom="280" w:left="920" w:right="620"/>
        </w:sectPr>
      </w:pPr>
    </w:p>
    <w:p>
      <w:pPr>
        <w:tabs>
          <w:tab w:pos="4408" w:val="left" w:leader="none"/>
          <w:tab w:pos="5556" w:val="left" w:leader="none"/>
        </w:tabs>
        <w:spacing w:before="89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</w:rPr>
        <w:t>Age: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2451" w:val="left" w:leader="none"/>
          <w:tab w:pos="4639" w:val="left" w:leader="none"/>
        </w:tabs>
        <w:spacing w:before="89"/>
        <w:ind w:left="10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Sex: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Male</w:t>
      </w:r>
      <w:r>
        <w:rPr>
          <w:b/>
          <w:spacing w:val="45"/>
          <w:sz w:val="20"/>
        </w:rPr>
        <w:t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43"/>
          <w:sz w:val="20"/>
        </w:rPr>
        <w:t> </w:t>
      </w:r>
      <w:r>
        <w:rPr>
          <w:b/>
          <w:sz w:val="20"/>
        </w:rPr>
        <w:t>Female</w:t>
      </w:r>
      <w:r>
        <w:rPr>
          <w:b/>
          <w:spacing w:val="1"/>
          <w:sz w:val="20"/>
        </w:rPr>
        <w:t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Date:</w:t>
      </w:r>
      <w:r>
        <w:rPr>
          <w:b/>
          <w:sz w:val="20"/>
          <w:u w:val="single"/>
        </w:rPr>
        <w:t> </w:t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280" w:left="920" w:right="620"/>
          <w:cols w:num="2" w:equalWidth="0">
            <w:col w:w="5557" w:space="40"/>
            <w:col w:w="510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0" w:after="2"/>
        <w:ind w:left="232" w:right="267" w:firstLine="0"/>
        <w:jc w:val="left"/>
        <w:rPr>
          <w:sz w:val="20"/>
        </w:rPr>
      </w:pPr>
      <w:r>
        <w:rPr/>
        <w:pict>
          <v:rect style="position:absolute;margin-left:149.539993pt;margin-top:10.601489pt;width:43.44pt;height:.59999pt;mso-position-horizontal-relative:page;mso-position-vertical-relative:paragraph;z-index:-15932928" filled="true" fillcolor="#000000" stroked="false">
            <v:fill type="solid"/>
            <w10:wrap type="none"/>
          </v:rect>
        </w:pict>
      </w:r>
      <w:r>
        <w:rPr>
          <w:b/>
          <w:sz w:val="20"/>
          <w:u w:val="single"/>
        </w:rPr>
        <w:t>Instructions:</w:t>
      </w:r>
      <w:r>
        <w:rPr>
          <w:b/>
          <w:sz w:val="20"/>
        </w:rPr>
        <w:t> </w:t>
      </w:r>
      <w:r>
        <w:rPr>
          <w:sz w:val="20"/>
        </w:rPr>
        <w:t>Over the </w:t>
      </w:r>
      <w:r>
        <w:rPr>
          <w:b/>
          <w:sz w:val="20"/>
        </w:rPr>
        <w:t>last 7 days</w:t>
      </w:r>
      <w:r>
        <w:rPr>
          <w:sz w:val="20"/>
        </w:rPr>
        <w:t>, how often have you been bothered by any of the following problems? (Use “</w:t>
      </w:r>
      <w:r>
        <w:rPr>
          <w:rFonts w:ascii="Microsoft Sans Serif" w:hAnsi="Microsoft Sans Serif" w:eastAsia="Microsoft Sans Serif"/>
          <w:sz w:val="20"/>
        </w:rPr>
        <w:t>🗸</w:t>
      </w:r>
      <w:r>
        <w:rPr>
          <w:sz w:val="20"/>
        </w:rPr>
        <w:t>” to indicate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answer)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5041"/>
        <w:gridCol w:w="1081"/>
        <w:gridCol w:w="901"/>
        <w:gridCol w:w="990"/>
        <w:gridCol w:w="993"/>
        <w:gridCol w:w="1081"/>
      </w:tblGrid>
      <w:tr>
        <w:trPr>
          <w:trHeight w:val="486" w:hRule="atLeast"/>
        </w:trPr>
        <w:tc>
          <w:tcPr>
            <w:tcW w:w="9386" w:type="dxa"/>
            <w:gridSpan w:val="6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line="243" w:lineRule="exact"/>
              <w:ind w:left="12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Clinician</w:t>
            </w:r>
          </w:p>
          <w:p>
            <w:pPr>
              <w:pStyle w:val="TableParagraph"/>
              <w:spacing w:line="223" w:lineRule="exact"/>
              <w:ind w:left="12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</w:p>
        </w:tc>
      </w:tr>
      <w:tr>
        <w:trPr>
          <w:trHeight w:val="489" w:hRule="atLeast"/>
        </w:trPr>
        <w:tc>
          <w:tcPr>
            <w:tcW w:w="9386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3" w:lineRule="exact" w:before="1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  <w:p>
            <w:pPr>
              <w:pStyle w:val="TableParagraph"/>
              <w:spacing w:line="225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732" w:hRule="atLeast"/>
        </w:trPr>
        <w:tc>
          <w:tcPr>
            <w:tcW w:w="38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</w:p>
        </w:tc>
        <w:tc>
          <w:tcPr>
            <w:tcW w:w="901" w:type="dxa"/>
            <w:shd w:val="clear" w:color="auto" w:fill="DBE4F0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0" w:lineRule="atLeast"/>
              <w:ind w:left="257" w:right="127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Several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43" w:lineRule="exact"/>
              <w:ind w:left="117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More</w:t>
            </w:r>
          </w:p>
          <w:p>
            <w:pPr>
              <w:pStyle w:val="TableParagraph"/>
              <w:spacing w:line="240" w:lineRule="atLeast"/>
              <w:ind w:left="138" w:right="102" w:hanging="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than </w:t>
            </w:r>
            <w:r>
              <w:rPr>
                <w:b/>
                <w:sz w:val="20"/>
              </w:rPr>
              <w:t>half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993" w:type="dxa"/>
            <w:shd w:val="clear" w:color="auto" w:fill="DBE4F0"/>
          </w:tcPr>
          <w:p>
            <w:pPr>
              <w:pStyle w:val="TableParagraph"/>
              <w:spacing w:line="243" w:lineRule="exact"/>
              <w:ind w:left="260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Nearly</w:t>
            </w:r>
          </w:p>
          <w:p>
            <w:pPr>
              <w:pStyle w:val="TableParagraph"/>
              <w:spacing w:line="240" w:lineRule="atLeast"/>
              <w:ind w:left="340" w:right="241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80" w:type="dxa"/>
          </w:tcPr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041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Little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things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23" w:lineRule="exact"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223" w:lineRule="exact" w:before="1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23" w:lineRule="exact"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" w:type="dxa"/>
            <w:shd w:val="clear" w:color="auto" w:fill="DBE4F0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041" w:type="dxa"/>
            <w:shd w:val="clear" w:color="auto" w:fill="DBE4F0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Feeling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down,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depressed,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hopeless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  <w:shd w:val="clear" w:color="auto" w:fill="DBE4F0"/>
          </w:tcPr>
          <w:p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24" w:lineRule="exact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  <w:shd w:val="clear" w:color="auto" w:fill="DBE4F0"/>
          </w:tcPr>
          <w:p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" w:type="dxa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04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Trouble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 staying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asleep,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sleeping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much</w:t>
            </w:r>
          </w:p>
        </w:tc>
        <w:tc>
          <w:tcPr>
            <w:tcW w:w="1081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224" w:lineRule="exact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" w:type="dxa"/>
            <w:shd w:val="clear" w:color="auto" w:fill="DBE4F0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041" w:type="dxa"/>
            <w:shd w:val="clear" w:color="auto" w:fill="DBE4F0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Feeling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little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energy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  <w:shd w:val="clear" w:color="auto" w:fill="DBE4F0"/>
          </w:tcPr>
          <w:p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24" w:lineRule="exact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  <w:shd w:val="clear" w:color="auto" w:fill="DBE4F0"/>
          </w:tcPr>
          <w:p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80" w:type="dxa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04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appetite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overeating</w:t>
            </w:r>
          </w:p>
        </w:tc>
        <w:tc>
          <w:tcPr>
            <w:tcW w:w="1081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224" w:lineRule="exact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  <w:shd w:val="clear" w:color="auto" w:fill="DBE4F0"/>
          </w:tcPr>
          <w:p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041" w:type="dxa"/>
            <w:shd w:val="clear" w:color="auto" w:fill="DBE4F0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Feeling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yourself—or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yourself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down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  <w:shd w:val="clear" w:color="auto" w:fill="DBE4F0"/>
          </w:tcPr>
          <w:p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before="121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  <w:shd w:val="clear" w:color="auto" w:fill="DBE4F0"/>
          </w:tcPr>
          <w:p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80" w:type="dxa"/>
          </w:tcPr>
          <w:p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041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Trouble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concentrating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things,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newspaper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watching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television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121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380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041" w:type="dxa"/>
            <w:shd w:val="clear" w:color="auto" w:fill="DBE4F0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speaking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slowly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</w:p>
          <w:p>
            <w:pPr>
              <w:pStyle w:val="TableParagraph"/>
              <w:spacing w:line="240" w:lineRule="atLeast"/>
              <w:ind w:left="107" w:right="231"/>
              <w:rPr>
                <w:sz w:val="20"/>
              </w:rPr>
            </w:pPr>
            <w:r>
              <w:rPr>
                <w:sz w:val="20"/>
              </w:rPr>
              <w:t>noticed?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 the opposite—being so fidgety or restless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 usual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80" w:type="dxa"/>
          </w:tcPr>
          <w:p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041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Thoughts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hurting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yourself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way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121"/>
              <w:ind w:left="4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9386" w:type="dxa"/>
            <w:gridSpan w:val="6"/>
            <w:shd w:val="clear" w:color="auto" w:fill="DBE4F0"/>
          </w:tcPr>
          <w:p>
            <w:pPr>
              <w:pStyle w:val="TableParagraph"/>
              <w:spacing w:line="224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Total/Partial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9386" w:type="dxa"/>
            <w:gridSpan w:val="6"/>
            <w:shd w:val="clear" w:color="auto" w:fill="DBE4F0"/>
          </w:tcPr>
          <w:p>
            <w:pPr>
              <w:pStyle w:val="TableParagraph"/>
              <w:spacing w:line="224" w:lineRule="exact"/>
              <w:ind w:left="4608"/>
              <w:rPr>
                <w:b/>
                <w:sz w:val="20"/>
              </w:rPr>
            </w:pPr>
            <w:r>
              <w:rPr>
                <w:b/>
                <w:sz w:val="20"/>
              </w:rPr>
              <w:t>Prorated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1-2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left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unanswered)</w:t>
            </w:r>
          </w:p>
        </w:tc>
        <w:tc>
          <w:tcPr>
            <w:tcW w:w="108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3573" w:right="0" w:firstLine="0"/>
        <w:jc w:val="left"/>
        <w:rPr>
          <w:sz w:val="18"/>
        </w:rPr>
      </w:pPr>
      <w:r>
        <w:rPr>
          <w:sz w:val="18"/>
        </w:rPr>
        <w:t>Adapted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1"/>
          <w:sz w:val="18"/>
        </w:rPr>
        <w:t> </w:t>
      </w:r>
      <w:r>
        <w:rPr>
          <w:sz w:val="18"/>
        </w:rPr>
        <w:t>Patient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Questionnaire—9</w:t>
      </w:r>
      <w:r>
        <w:rPr>
          <w:spacing w:val="-1"/>
          <w:sz w:val="18"/>
        </w:rPr>
        <w:t> </w:t>
      </w:r>
      <w:r>
        <w:rPr>
          <w:sz w:val="18"/>
        </w:rPr>
        <w:t>(PHQ-9)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research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evaluation</w:t>
      </w:r>
      <w:r>
        <w:rPr>
          <w:spacing w:val="-2"/>
          <w:sz w:val="18"/>
        </w:rPr>
        <w:t> </w:t>
      </w:r>
      <w:r>
        <w:rPr>
          <w:sz w:val="18"/>
        </w:rPr>
        <w:t>purposes.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20" w:bottom="280" w:left="920" w:right="620"/>
        </w:sectPr>
      </w:pPr>
    </w:p>
    <w:p>
      <w:pPr>
        <w:pStyle w:val="Heading3"/>
        <w:spacing w:before="29"/>
      </w:pPr>
      <w:r>
        <w:rPr/>
        <w:t>Instructions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Clinicians</w:t>
      </w:r>
    </w:p>
    <w:p>
      <w:pPr>
        <w:pStyle w:val="BodyText"/>
        <w:ind w:left="232" w:right="267"/>
        <w:rPr>
          <w:b/>
        </w:rPr>
      </w:pPr>
      <w:r>
        <w:rPr/>
        <w:t>The Severity Measure for Depression—Adult (adapted from the Patient Health Questionnaire–9 [PHQ-9]) is a self-</w:t>
      </w:r>
      <w:r>
        <w:rPr>
          <w:spacing w:val="-47"/>
        </w:rPr>
        <w:t> </w:t>
      </w:r>
      <w:r>
        <w:rPr/>
        <w:t>rated 9-item measure that assesses the severity of depressive symptoms in individuals age 18 and older. The</w:t>
      </w:r>
      <w:r>
        <w:rPr>
          <w:spacing w:val="1"/>
        </w:rPr>
        <w:t> </w:t>
      </w:r>
      <w:r>
        <w:rPr/>
        <w:t>measure is completed by the individual prior to a visit with the clinician. Each item asks the individual to rate the</w:t>
      </w:r>
      <w:r>
        <w:rPr>
          <w:spacing w:val="1"/>
        </w:rPr>
        <w:t> </w:t>
      </w:r>
      <w:r>
        <w:rPr/>
        <w:t>severity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his/her</w:t>
      </w:r>
      <w:r>
        <w:rPr>
          <w:spacing w:val="-1"/>
        </w:rPr>
        <w:t> </w:t>
      </w:r>
      <w:r>
        <w:rPr/>
        <w:t>depression</w:t>
      </w:r>
      <w:r>
        <w:rPr>
          <w:spacing w:val="-1"/>
        </w:rPr>
        <w:t> </w:t>
      </w:r>
      <w:r>
        <w:rPr>
          <w:b/>
          <w:u w:val="single"/>
        </w:rPr>
        <w:t>during the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last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7 days.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Heading3"/>
        <w:spacing w:before="56"/>
      </w:pPr>
      <w:r>
        <w:rPr/>
        <w:t>Scoring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ind w:left="232" w:right="267"/>
      </w:pPr>
      <w:r>
        <w:rPr/>
        <w:t>Each item on the measure is rated on a 4-point scale (0=Not at all; 1=Several days; 2=More than half the days; and</w:t>
      </w:r>
      <w:r>
        <w:rPr>
          <w:spacing w:val="-47"/>
        </w:rPr>
        <w:t> </w:t>
      </w:r>
      <w:r>
        <w:rPr/>
        <w:t>3=Nearly every day). The total score can range from 0 to 27, with higher scores indicating greater severity of</w:t>
      </w:r>
      <w:r>
        <w:rPr>
          <w:spacing w:val="1"/>
        </w:rPr>
        <w:t> </w:t>
      </w:r>
      <w:r>
        <w:rPr/>
        <w:t>depression. The clinician is asked to review the score of each item on the measure during the clinical interview</w:t>
      </w:r>
      <w:r>
        <w:rPr>
          <w:spacing w:val="1"/>
        </w:rPr>
        <w:t> </w:t>
      </w:r>
      <w:r>
        <w:rPr/>
        <w:t>and indicate the raw score for each item in the section provided for “Clinician Use.” The raw scores on the 9 items</w:t>
      </w:r>
      <w:r>
        <w:rPr>
          <w:spacing w:val="-47"/>
        </w:rPr>
        <w:t> </w:t>
      </w:r>
      <w:r>
        <w:rPr/>
        <w:t>should be summed to obtain a total raw score and should be interpreted using the Interpretation Table for the</w:t>
      </w:r>
      <w:r>
        <w:rPr>
          <w:spacing w:val="1"/>
        </w:rPr>
        <w:t> </w:t>
      </w:r>
      <w:r>
        <w:rPr/>
        <w:t>PHQ-9</w:t>
      </w:r>
      <w:r>
        <w:rPr>
          <w:spacing w:val="-3"/>
        </w:rPr>
        <w:t> </w:t>
      </w:r>
      <w:r>
        <w:rPr/>
        <w:t>below:</w:t>
      </w:r>
    </w:p>
    <w:p>
      <w:pPr>
        <w:pStyle w:val="BodyText"/>
        <w:spacing w:before="3"/>
      </w:pPr>
    </w:p>
    <w:p>
      <w:pPr>
        <w:pStyle w:val="Heading3"/>
        <w:ind w:left="863"/>
      </w:pPr>
      <w:r>
        <w:rPr/>
        <w:t>Interpretation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PHQ-9</w:t>
      </w:r>
    </w:p>
    <w:tbl>
      <w:tblPr>
        <w:tblW w:w="0" w:type="auto"/>
        <w:jc w:val="left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3236"/>
      </w:tblGrid>
      <w:tr>
        <w:trPr>
          <w:trHeight w:val="270" w:hRule="atLeast"/>
        </w:trPr>
        <w:tc>
          <w:tcPr>
            <w:tcW w:w="416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Levels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depressive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symptoms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severity</w:t>
            </w:r>
          </w:p>
        </w:tc>
        <w:tc>
          <w:tcPr>
            <w:tcW w:w="323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PHQ-9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Score</w:t>
            </w:r>
          </w:p>
        </w:tc>
      </w:tr>
      <w:tr>
        <w:trPr>
          <w:trHeight w:val="285" w:hRule="atLeast"/>
        </w:trPr>
        <w:tc>
          <w:tcPr>
            <w:tcW w:w="4160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3236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0-4</w:t>
            </w:r>
          </w:p>
        </w:tc>
      </w:tr>
      <w:tr>
        <w:trPr>
          <w:trHeight w:val="267" w:hRule="atLeast"/>
        </w:trPr>
        <w:tc>
          <w:tcPr>
            <w:tcW w:w="4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depression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</w:tr>
      <w:tr>
        <w:trPr>
          <w:trHeight w:val="267" w:hRule="atLeast"/>
        </w:trPr>
        <w:tc>
          <w:tcPr>
            <w:tcW w:w="4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depression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10-14</w:t>
            </w:r>
          </w:p>
        </w:tc>
      </w:tr>
      <w:tr>
        <w:trPr>
          <w:trHeight w:val="520" w:hRule="atLeast"/>
        </w:trPr>
        <w:tc>
          <w:tcPr>
            <w:tcW w:w="416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Moderately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severe depression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Severe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depression</w:t>
            </w: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15-19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20-27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32" w:right="267"/>
      </w:pPr>
      <w:r>
        <w:rPr>
          <w:b/>
        </w:rPr>
        <w:t>Note: </w:t>
      </w:r>
      <w:r>
        <w:rPr/>
        <w:t>If 3 or more items are left unanswered, the total score on the measure should not be calculated. Therefore,</w:t>
      </w:r>
      <w:r>
        <w:rPr>
          <w:spacing w:val="-47"/>
        </w:rPr>
        <w:t> </w:t>
      </w:r>
      <w:r>
        <w:rPr/>
        <w:t>the individual should be encouraged to complete all of the items on the measure.</w:t>
      </w:r>
      <w:r>
        <w:rPr>
          <w:spacing w:val="1"/>
        </w:rPr>
        <w:t> </w:t>
      </w:r>
      <w:r>
        <w:rPr/>
        <w:t>If 1 or 2 items are left</w:t>
      </w:r>
      <w:r>
        <w:rPr>
          <w:spacing w:val="1"/>
        </w:rPr>
        <w:t> </w:t>
      </w:r>
      <w:r>
        <w:rPr/>
        <w:t>unanswered, you are asked to calculate a prorated score.</w:t>
      </w:r>
      <w:r>
        <w:rPr>
          <w:spacing w:val="1"/>
        </w:rPr>
        <w:t> </w:t>
      </w:r>
      <w:r>
        <w:rPr/>
        <w:t>The prorated score is calculated by summing the scores</w:t>
      </w:r>
      <w:r>
        <w:rPr>
          <w:spacing w:val="-47"/>
        </w:rPr>
        <w:t> </w:t>
      </w:r>
      <w:r>
        <w:rPr/>
        <w:t>of the items that were answered to get a partial raw score.</w:t>
      </w:r>
      <w:r>
        <w:rPr>
          <w:spacing w:val="1"/>
        </w:rPr>
        <w:t> </w:t>
      </w:r>
      <w:r>
        <w:rPr/>
        <w:t>Multiply the partial raw score by the total number of</w:t>
      </w:r>
      <w:r>
        <w:rPr>
          <w:spacing w:val="1"/>
        </w:rPr>
        <w:t> </w:t>
      </w:r>
      <w:r>
        <w:rPr/>
        <w:t>items on the PHQ-9 (i.e., 9) and divide the value by the number of items that were actually answered (i.e., 7 or 8).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prorate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score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Total Raw Score is: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2269" w:val="left" w:leader="none"/>
          <w:tab w:pos="5050" w:val="left" w:leader="none"/>
        </w:tabs>
        <w:spacing w:line="237" w:lineRule="auto" w:before="58"/>
        <w:ind w:left="952" w:right="564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(Raw</w:t>
      </w:r>
      <w:r>
        <w:rPr>
          <w:spacing w:val="-3"/>
          <w:u w:val="single"/>
        </w:rPr>
        <w:t> </w:t>
      </w:r>
      <w:r>
        <w:rPr>
          <w:u w:val="single"/>
        </w:rPr>
        <w:t>sum</w:t>
      </w:r>
      <w:r>
        <w:rPr>
          <w:spacing w:val="-2"/>
          <w:u w:val="single"/>
        </w:rPr>
        <w:t> </w:t>
      </w:r>
      <w:r>
        <w:rPr>
          <w:u w:val="single"/>
        </w:rPr>
        <w:t>x</w:t>
      </w:r>
      <w:r>
        <w:rPr>
          <w:spacing w:val="-2"/>
          <w:u w:val="single"/>
        </w:rPr>
        <w:t> </w:t>
      </w:r>
      <w:r>
        <w:rPr>
          <w:u w:val="single"/>
        </w:rPr>
        <w:t>9)</w:t>
        <w:tab/>
      </w:r>
      <w:r>
        <w:rPr/>
        <w:t> Number</w:t>
      </w:r>
      <w:r>
        <w:rPr>
          <w:spacing w:val="-2"/>
        </w:rPr>
        <w:t> </w:t>
      </w:r>
      <w:r>
        <w:rPr/>
        <w:t>of items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actually</w:t>
      </w:r>
      <w:r>
        <w:rPr>
          <w:spacing w:val="-2"/>
        </w:rPr>
        <w:t> </w:t>
      </w:r>
      <w:r>
        <w:rPr/>
        <w:t>answered</w:t>
      </w:r>
    </w:p>
    <w:p>
      <w:pPr>
        <w:pStyle w:val="BodyText"/>
        <w:spacing w:before="2"/>
      </w:pPr>
    </w:p>
    <w:p>
      <w:pPr>
        <w:pStyle w:val="BodyText"/>
        <w:ind w:left="232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fraction,</w:t>
      </w:r>
      <w:r>
        <w:rPr>
          <w:spacing w:val="-2"/>
        </w:rPr>
        <w:t> </w:t>
      </w:r>
      <w:r>
        <w:rPr/>
        <w:t>round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nearest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number.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267" w:lineRule="exact"/>
      </w:pPr>
      <w:r>
        <w:rPr/>
        <w:t>Frequency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line="267" w:lineRule="exact"/>
        <w:ind w:left="232"/>
      </w:pPr>
      <w:r>
        <w:rPr/>
        <w:t>To</w:t>
      </w:r>
      <w:r>
        <w:rPr>
          <w:spacing w:val="-2"/>
        </w:rPr>
        <w:t> </w:t>
      </w:r>
      <w:r>
        <w:rPr/>
        <w:t>track</w:t>
      </w:r>
      <w:r>
        <w:rPr>
          <w:spacing w:val="-2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severity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individual’s</w:t>
      </w:r>
      <w:r>
        <w:rPr>
          <w:spacing w:val="-3"/>
        </w:rPr>
        <w:t> </w:t>
      </w:r>
      <w:r>
        <w:rPr/>
        <w:t>depression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time,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at</w:t>
      </w:r>
    </w:p>
    <w:p>
      <w:pPr>
        <w:pStyle w:val="BodyText"/>
        <w:spacing w:before="1"/>
        <w:ind w:left="232" w:right="414"/>
      </w:pPr>
      <w:r>
        <w:rPr/>
        <w:t>regular intervals as clinically indicated, depending on the stability of the individual’s symptoms and treatment</w:t>
      </w:r>
      <w:r>
        <w:rPr>
          <w:spacing w:val="1"/>
        </w:rPr>
        <w:t> </w:t>
      </w:r>
      <w:r>
        <w:rPr/>
        <w:t>status. Consistently high scores on a particular domain may indicate significant and problematic areas for the</w:t>
      </w:r>
      <w:r>
        <w:rPr>
          <w:spacing w:val="1"/>
        </w:rPr>
        <w:t> </w:t>
      </w:r>
      <w:r>
        <w:rPr/>
        <w:t>individual that might warrant further assessment, treatment, and follow-up. Your clinical judgment should guide</w:t>
      </w:r>
      <w:r>
        <w:rPr>
          <w:spacing w:val="-47"/>
        </w:rPr>
        <w:t> </w:t>
      </w:r>
      <w:r>
        <w:rPr/>
        <w:t>your decision.</w:t>
      </w:r>
    </w:p>
    <w:sectPr>
      <w:pgSz w:w="12240" w:h="15840"/>
      <w:pgMar w:top="112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 w:right="87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20" w:right="873"/>
      <w:outlineLvl w:val="2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32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sm5.org/Pages/Feedback-Form.aspx" TargetMode="External"/><Relationship Id="rId6" Type="http://schemas.openxmlformats.org/officeDocument/2006/relationships/hyperlink" Target="http://www.phqscreeners.com/instructions/instructions.pdf)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Kuramoto</dc:creator>
  <dcterms:created xsi:type="dcterms:W3CDTF">2023-02-03T23:53:26Z</dcterms:created>
  <dcterms:modified xsi:type="dcterms:W3CDTF">2023-02-03T23:53:26Z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